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3B1D" w14:textId="77777777" w:rsidR="006121A4" w:rsidRPr="006121A4" w:rsidRDefault="006121A4">
      <w:pPr>
        <w:rPr>
          <w:rFonts w:ascii="Cabin Bold" w:hAnsi="Cabin Bold" w:cs="Noto Serif"/>
          <w:sz w:val="32"/>
        </w:rPr>
      </w:pPr>
      <w:bookmarkStart w:id="0" w:name="_GoBack"/>
      <w:r w:rsidRPr="006121A4">
        <w:rPr>
          <w:rFonts w:ascii="Cabin Bold" w:hAnsi="Cabin Bold" w:cs="Noto Serif"/>
          <w:sz w:val="32"/>
        </w:rPr>
        <w:t>HHS Violating the Law, Once Again, Stealing from Taxpayers</w:t>
      </w:r>
    </w:p>
    <w:bookmarkEnd w:id="0"/>
    <w:p w14:paraId="03BB9BE9" w14:textId="77777777" w:rsidR="006121A4" w:rsidRPr="006121A4" w:rsidRDefault="006121A4">
      <w:pPr>
        <w:rPr>
          <w:rFonts w:ascii="Cabin" w:hAnsi="Cabin" w:cs="Noto Serif"/>
          <w:sz w:val="20"/>
        </w:rPr>
      </w:pPr>
      <w:r w:rsidRPr="006121A4">
        <w:rPr>
          <w:rFonts w:ascii="Cabin" w:hAnsi="Cabin" w:cs="Noto Serif"/>
          <w:sz w:val="20"/>
        </w:rPr>
        <w:t>Tara O’Neill</w:t>
      </w:r>
    </w:p>
    <w:p w14:paraId="4F58DAFD" w14:textId="14FB0586" w:rsidR="006121A4" w:rsidRPr="006121A4" w:rsidRDefault="006121A4">
      <w:pPr>
        <w:rPr>
          <w:rFonts w:ascii="Cabin" w:hAnsi="Cabin" w:cs="Noto Serif"/>
          <w:sz w:val="20"/>
        </w:rPr>
      </w:pPr>
      <w:r w:rsidRPr="006121A4">
        <w:rPr>
          <w:rFonts w:ascii="Cabin" w:hAnsi="Cabin" w:cs="Noto Serif"/>
          <w:sz w:val="20"/>
        </w:rPr>
        <w:t>February 2</w:t>
      </w:r>
      <w:r w:rsidR="002E15F9">
        <w:rPr>
          <w:rFonts w:ascii="Cabin" w:hAnsi="Cabin" w:cs="Noto Serif"/>
          <w:sz w:val="20"/>
        </w:rPr>
        <w:t>5</w:t>
      </w:r>
      <w:r w:rsidRPr="006121A4">
        <w:rPr>
          <w:rFonts w:ascii="Cabin" w:hAnsi="Cabin" w:cs="Noto Serif"/>
          <w:sz w:val="20"/>
        </w:rPr>
        <w:t>, 2016</w:t>
      </w:r>
    </w:p>
    <w:p w14:paraId="1ED5EF3C" w14:textId="77777777" w:rsidR="006121A4" w:rsidRDefault="006121A4">
      <w:pPr>
        <w:rPr>
          <w:rFonts w:ascii="Noto Serif" w:hAnsi="Noto Serif" w:cs="Noto Serif"/>
          <w:sz w:val="24"/>
        </w:rPr>
      </w:pPr>
    </w:p>
    <w:p w14:paraId="3922F12C" w14:textId="1E9ECD90" w:rsidR="0094548F" w:rsidRPr="00FF5EFC" w:rsidRDefault="0094548F">
      <w:pPr>
        <w:rPr>
          <w:rFonts w:ascii="Cabin Bold" w:hAnsi="Cabin Bold" w:cs="Noto Serif"/>
          <w:sz w:val="28"/>
        </w:rPr>
      </w:pPr>
      <w:r w:rsidRPr="00FF5EFC">
        <w:rPr>
          <w:rFonts w:ascii="Cabin Bold" w:hAnsi="Cabin Bold" w:cs="Noto Serif"/>
          <w:sz w:val="28"/>
        </w:rPr>
        <w:t xml:space="preserve">Introduction </w:t>
      </w:r>
    </w:p>
    <w:p w14:paraId="4D40C31D" w14:textId="77777777" w:rsidR="0094548F" w:rsidRDefault="0094548F">
      <w:pPr>
        <w:rPr>
          <w:rFonts w:ascii="Noto Serif" w:hAnsi="Noto Serif" w:cs="Noto Serif"/>
          <w:sz w:val="24"/>
        </w:rPr>
      </w:pPr>
    </w:p>
    <w:p w14:paraId="6261A743" w14:textId="6398B46C" w:rsidR="00634CBB" w:rsidRDefault="00C222B5">
      <w:pPr>
        <w:rPr>
          <w:rFonts w:ascii="Noto Serif" w:hAnsi="Noto Serif" w:cs="Noto Serif"/>
          <w:sz w:val="24"/>
        </w:rPr>
      </w:pPr>
      <w:r>
        <w:rPr>
          <w:rFonts w:ascii="Noto Serif" w:hAnsi="Noto Serif" w:cs="Noto Serif"/>
          <w:sz w:val="24"/>
        </w:rPr>
        <w:t xml:space="preserve">Once again, the Obama Administration is unilaterally, and without </w:t>
      </w:r>
      <w:r w:rsidR="003665B2">
        <w:rPr>
          <w:rFonts w:ascii="Noto Serif" w:hAnsi="Noto Serif" w:cs="Noto Serif"/>
          <w:sz w:val="24"/>
        </w:rPr>
        <w:t xml:space="preserve">legal </w:t>
      </w:r>
      <w:r>
        <w:rPr>
          <w:rFonts w:ascii="Noto Serif" w:hAnsi="Noto Serif" w:cs="Noto Serif"/>
          <w:sz w:val="24"/>
        </w:rPr>
        <w:t xml:space="preserve">authority, making changes to </w:t>
      </w:r>
      <w:r w:rsidR="0081473F">
        <w:rPr>
          <w:rFonts w:ascii="Noto Serif" w:hAnsi="Noto Serif" w:cs="Noto Serif"/>
          <w:sz w:val="24"/>
        </w:rPr>
        <w:t xml:space="preserve">the </w:t>
      </w:r>
      <w:hyperlink r:id="rId6" w:history="1">
        <w:r w:rsidRPr="007E6CCA">
          <w:rPr>
            <w:rStyle w:val="Hyperlink"/>
            <w:rFonts w:ascii="Noto Serif" w:hAnsi="Noto Serif" w:cs="Noto Serif"/>
            <w:sz w:val="24"/>
          </w:rPr>
          <w:t>Affordable Care Act</w:t>
        </w:r>
      </w:hyperlink>
      <w:r>
        <w:rPr>
          <w:rFonts w:ascii="Noto Serif" w:hAnsi="Noto Serif" w:cs="Noto Serif"/>
          <w:sz w:val="24"/>
        </w:rPr>
        <w:t xml:space="preserve"> (ACA). This particular change is resulting in a </w:t>
      </w:r>
      <w:r w:rsidR="009B55DF">
        <w:rPr>
          <w:rFonts w:ascii="Noto Serif" w:hAnsi="Noto Serif" w:cs="Noto Serif"/>
          <w:sz w:val="24"/>
        </w:rPr>
        <w:t>loss</w:t>
      </w:r>
      <w:r>
        <w:rPr>
          <w:rFonts w:ascii="Noto Serif" w:hAnsi="Noto Serif" w:cs="Noto Serif"/>
          <w:sz w:val="24"/>
        </w:rPr>
        <w:t xml:space="preserve"> </w:t>
      </w:r>
      <w:r w:rsidR="007963F1">
        <w:rPr>
          <w:rFonts w:ascii="Noto Serif" w:hAnsi="Noto Serif" w:cs="Noto Serif"/>
          <w:sz w:val="24"/>
        </w:rPr>
        <w:t xml:space="preserve">of </w:t>
      </w:r>
      <w:r w:rsidR="009B55DF">
        <w:rPr>
          <w:rFonts w:ascii="Noto Serif" w:hAnsi="Noto Serif" w:cs="Noto Serif"/>
          <w:sz w:val="24"/>
        </w:rPr>
        <w:t xml:space="preserve">$3.5 billion </w:t>
      </w:r>
      <w:r w:rsidR="00167886">
        <w:rPr>
          <w:rFonts w:ascii="Noto Serif" w:hAnsi="Noto Serif" w:cs="Noto Serif"/>
          <w:sz w:val="24"/>
        </w:rPr>
        <w:t xml:space="preserve">from </w:t>
      </w:r>
      <w:r w:rsidR="007963F1">
        <w:rPr>
          <w:rFonts w:ascii="Noto Serif" w:hAnsi="Noto Serif" w:cs="Noto Serif"/>
          <w:sz w:val="24"/>
        </w:rPr>
        <w:t>the ge</w:t>
      </w:r>
      <w:r w:rsidR="00634CBB">
        <w:rPr>
          <w:rFonts w:ascii="Noto Serif" w:hAnsi="Noto Serif" w:cs="Noto Serif"/>
          <w:sz w:val="24"/>
        </w:rPr>
        <w:t>neral fund of the U.S. Treasury</w:t>
      </w:r>
      <w:r w:rsidR="00167886">
        <w:rPr>
          <w:rFonts w:ascii="Noto Serif" w:hAnsi="Noto Serif" w:cs="Noto Serif"/>
          <w:sz w:val="24"/>
        </w:rPr>
        <w:t xml:space="preserve"> to date</w:t>
      </w:r>
      <w:r w:rsidR="00634CBB">
        <w:rPr>
          <w:rFonts w:ascii="Noto Serif" w:hAnsi="Noto Serif" w:cs="Noto Serif"/>
          <w:sz w:val="24"/>
        </w:rPr>
        <w:t xml:space="preserve">, and if the pattern continues next year, taxpayers stand to lose a total of $5 billion. </w:t>
      </w:r>
    </w:p>
    <w:p w14:paraId="49E2D5FC" w14:textId="77777777" w:rsidR="00634CBB" w:rsidRDefault="00634CBB">
      <w:pPr>
        <w:rPr>
          <w:rFonts w:ascii="Noto Serif" w:hAnsi="Noto Serif" w:cs="Noto Serif"/>
          <w:sz w:val="24"/>
        </w:rPr>
      </w:pPr>
    </w:p>
    <w:p w14:paraId="1B592EEE" w14:textId="446ACD19" w:rsidR="00C222B5" w:rsidRPr="00F8675E" w:rsidRDefault="00F61E99">
      <w:pPr>
        <w:rPr>
          <w:rFonts w:ascii="Noto Serif" w:hAnsi="Noto Serif" w:cs="Noto Serif"/>
          <w:sz w:val="24"/>
        </w:rPr>
      </w:pPr>
      <w:r>
        <w:rPr>
          <w:rFonts w:ascii="Noto Serif" w:hAnsi="Noto Serif" w:cs="Noto Serif"/>
          <w:sz w:val="24"/>
        </w:rPr>
        <w:t>A</w:t>
      </w:r>
      <w:r w:rsidR="00634CBB">
        <w:rPr>
          <w:rFonts w:ascii="Noto Serif" w:hAnsi="Noto Serif" w:cs="Noto Serif"/>
          <w:sz w:val="24"/>
        </w:rPr>
        <w:t xml:space="preserve"> temporary reinsurance program, </w:t>
      </w:r>
      <w:r>
        <w:rPr>
          <w:rFonts w:ascii="Noto Serif" w:hAnsi="Noto Serif" w:cs="Noto Serif"/>
          <w:sz w:val="24"/>
        </w:rPr>
        <w:t xml:space="preserve">established by the ACA, requires </w:t>
      </w:r>
      <w:r w:rsidR="00634CBB">
        <w:rPr>
          <w:rFonts w:ascii="Noto Serif" w:hAnsi="Noto Serif" w:cs="Noto Serif"/>
          <w:sz w:val="24"/>
        </w:rPr>
        <w:t xml:space="preserve">insurers to make payments to cover the costs of </w:t>
      </w:r>
      <w:r>
        <w:rPr>
          <w:rFonts w:ascii="Noto Serif" w:hAnsi="Noto Serif" w:cs="Noto Serif"/>
          <w:sz w:val="24"/>
        </w:rPr>
        <w:t>the program,</w:t>
      </w:r>
      <w:r w:rsidR="00634CBB">
        <w:rPr>
          <w:rFonts w:ascii="Noto Serif" w:hAnsi="Noto Serif" w:cs="Noto Serif"/>
          <w:sz w:val="24"/>
        </w:rPr>
        <w:t xml:space="preserve"> as well as additional payments to the</w:t>
      </w:r>
      <w:r w:rsidR="00FF5EFC">
        <w:rPr>
          <w:rFonts w:ascii="Noto Serif" w:hAnsi="Noto Serif" w:cs="Noto Serif"/>
          <w:sz w:val="24"/>
        </w:rPr>
        <w:t xml:space="preserve"> general fund of the U.S.</w:t>
      </w:r>
      <w:r w:rsidR="00634CBB">
        <w:rPr>
          <w:rFonts w:ascii="Noto Serif" w:hAnsi="Noto Serif" w:cs="Noto Serif"/>
          <w:sz w:val="24"/>
        </w:rPr>
        <w:t xml:space="preserve"> Treasury. The </w:t>
      </w:r>
      <w:r w:rsidR="0035757B">
        <w:rPr>
          <w:rFonts w:ascii="Noto Serif" w:hAnsi="Noto Serif" w:cs="Noto Serif"/>
          <w:sz w:val="24"/>
        </w:rPr>
        <w:t>administration</w:t>
      </w:r>
      <w:r w:rsidR="00634CBB">
        <w:rPr>
          <w:rFonts w:ascii="Noto Serif" w:hAnsi="Noto Serif" w:cs="Noto Serif"/>
          <w:sz w:val="24"/>
        </w:rPr>
        <w:t xml:space="preserve"> failed to adequately set payment rates causing the amount of funds </w:t>
      </w:r>
      <w:r w:rsidR="00634CBB">
        <w:rPr>
          <w:rFonts w:ascii="Noto Serif" w:hAnsi="Noto Serif" w:cs="Noto Serif"/>
          <w:sz w:val="24"/>
        </w:rPr>
        <w:lastRenderedPageBreak/>
        <w:t>raised to be less than the statutorily required totals in both 2014 and 2015. HHS decided through rulemaking that in the event of a funding shortfall payments would be made to insurers before any payments are made to the Treasury, despite the law specifically stating tha</w:t>
      </w:r>
      <w:r w:rsidR="00F8675E">
        <w:rPr>
          <w:rFonts w:ascii="Noto Serif" w:hAnsi="Noto Serif" w:cs="Noto Serif"/>
          <w:sz w:val="24"/>
        </w:rPr>
        <w:t xml:space="preserve">t the share of funds collected for payment to the Treasury </w:t>
      </w:r>
      <w:r w:rsidR="00F8675E">
        <w:rPr>
          <w:rFonts w:ascii="Noto Serif" w:hAnsi="Noto Serif" w:cs="Noto Serif"/>
          <w:i/>
          <w:sz w:val="24"/>
        </w:rPr>
        <w:t>must</w:t>
      </w:r>
      <w:r w:rsidR="00F8675E">
        <w:rPr>
          <w:rFonts w:ascii="Noto Serif" w:hAnsi="Noto Serif" w:cs="Noto Serif"/>
          <w:sz w:val="24"/>
        </w:rPr>
        <w:t xml:space="preserve"> be paid to the Treasury and </w:t>
      </w:r>
      <w:r w:rsidR="00F8675E">
        <w:rPr>
          <w:rFonts w:ascii="Noto Serif" w:hAnsi="Noto Serif" w:cs="Noto Serif"/>
          <w:i/>
          <w:sz w:val="24"/>
        </w:rPr>
        <w:t>may not</w:t>
      </w:r>
      <w:r w:rsidR="00F8675E">
        <w:rPr>
          <w:rFonts w:ascii="Noto Serif" w:hAnsi="Noto Serif" w:cs="Noto Serif"/>
          <w:sz w:val="24"/>
        </w:rPr>
        <w:t xml:space="preserve"> be made to plan issuers. The </w:t>
      </w:r>
      <w:r>
        <w:rPr>
          <w:rFonts w:ascii="Noto Serif" w:hAnsi="Noto Serif" w:cs="Noto Serif"/>
          <w:sz w:val="24"/>
        </w:rPr>
        <w:t>a</w:t>
      </w:r>
      <w:r w:rsidR="00F8675E">
        <w:rPr>
          <w:rFonts w:ascii="Noto Serif" w:hAnsi="Noto Serif" w:cs="Noto Serif"/>
          <w:sz w:val="24"/>
        </w:rPr>
        <w:t>dministration has clearly acted in violation of the law, and the taxpayers are the ones paying the price.</w:t>
      </w:r>
    </w:p>
    <w:p w14:paraId="4F854214" w14:textId="77777777" w:rsidR="00C222B5" w:rsidRDefault="00C222B5">
      <w:pPr>
        <w:rPr>
          <w:rFonts w:ascii="Noto Serif" w:hAnsi="Noto Serif" w:cs="Noto Serif"/>
          <w:sz w:val="24"/>
        </w:rPr>
      </w:pPr>
    </w:p>
    <w:p w14:paraId="1630988C" w14:textId="0E5F2B62" w:rsidR="0094548F" w:rsidRPr="00FF5EFC" w:rsidRDefault="0094548F">
      <w:pPr>
        <w:rPr>
          <w:rFonts w:ascii="Cabin Bold" w:hAnsi="Cabin Bold" w:cs="Noto Serif"/>
          <w:sz w:val="24"/>
        </w:rPr>
      </w:pPr>
      <w:r w:rsidRPr="00FF5EFC">
        <w:rPr>
          <w:rFonts w:ascii="Cabin Bold" w:hAnsi="Cabin Bold" w:cs="Noto Serif"/>
          <w:sz w:val="28"/>
        </w:rPr>
        <w:t>Background</w:t>
      </w:r>
    </w:p>
    <w:p w14:paraId="2A6F6414" w14:textId="77777777" w:rsidR="0094548F" w:rsidRDefault="0094548F">
      <w:pPr>
        <w:rPr>
          <w:rFonts w:ascii="Noto Serif" w:hAnsi="Noto Serif" w:cs="Noto Serif"/>
          <w:sz w:val="24"/>
        </w:rPr>
      </w:pPr>
    </w:p>
    <w:p w14:paraId="104783AD" w14:textId="099EFC79" w:rsidR="00FC2D2F" w:rsidRDefault="00C06F5F">
      <w:pPr>
        <w:rPr>
          <w:rFonts w:ascii="Noto Serif" w:hAnsi="Noto Serif" w:cs="Noto Serif"/>
          <w:sz w:val="24"/>
        </w:rPr>
      </w:pPr>
      <w:r w:rsidRPr="009002CC">
        <w:rPr>
          <w:rFonts w:ascii="Noto Serif" w:hAnsi="Noto Serif" w:cs="Noto Serif"/>
          <w:sz w:val="24"/>
        </w:rPr>
        <w:t xml:space="preserve">One of the </w:t>
      </w:r>
      <w:hyperlink r:id="rId7" w:history="1">
        <w:r w:rsidRPr="009002CC">
          <w:rPr>
            <w:rStyle w:val="Hyperlink"/>
            <w:rFonts w:ascii="Noto Serif" w:hAnsi="Noto Serif" w:cs="Noto Serif"/>
            <w:sz w:val="24"/>
          </w:rPr>
          <w:t>many mechanisms</w:t>
        </w:r>
      </w:hyperlink>
      <w:r w:rsidRPr="009002CC">
        <w:rPr>
          <w:rFonts w:ascii="Noto Serif" w:hAnsi="Noto Serif" w:cs="Noto Serif"/>
          <w:sz w:val="24"/>
        </w:rPr>
        <w:t xml:space="preserve"> included in the ACA to try to ensure </w:t>
      </w:r>
      <w:r w:rsidR="00842EF9">
        <w:rPr>
          <w:rFonts w:ascii="Noto Serif" w:hAnsi="Noto Serif" w:cs="Noto Serif"/>
          <w:sz w:val="24"/>
        </w:rPr>
        <w:t>the law’s</w:t>
      </w:r>
      <w:r w:rsidRPr="009002CC">
        <w:rPr>
          <w:rFonts w:ascii="Noto Serif" w:hAnsi="Noto Serif" w:cs="Noto Serif"/>
          <w:sz w:val="24"/>
        </w:rPr>
        <w:t xml:space="preserve"> success was the </w:t>
      </w:r>
      <w:r w:rsidR="00842EF9">
        <w:rPr>
          <w:rFonts w:ascii="Noto Serif" w:hAnsi="Noto Serif" w:cs="Noto Serif"/>
          <w:sz w:val="24"/>
        </w:rPr>
        <w:t xml:space="preserve">creation of a </w:t>
      </w:r>
      <w:r w:rsidR="002C4EEF">
        <w:rPr>
          <w:rFonts w:ascii="Noto Serif" w:hAnsi="Noto Serif" w:cs="Noto Serif"/>
          <w:sz w:val="24"/>
        </w:rPr>
        <w:t xml:space="preserve">temporary </w:t>
      </w:r>
      <w:r w:rsidRPr="009002CC">
        <w:rPr>
          <w:rFonts w:ascii="Noto Serif" w:hAnsi="Noto Serif" w:cs="Noto Serif"/>
          <w:sz w:val="24"/>
        </w:rPr>
        <w:t>“reinsurance” program</w:t>
      </w:r>
      <w:r w:rsidR="0074143A">
        <w:rPr>
          <w:rFonts w:ascii="Noto Serif" w:hAnsi="Noto Serif" w:cs="Noto Serif"/>
          <w:sz w:val="24"/>
        </w:rPr>
        <w:t xml:space="preserve">. </w:t>
      </w:r>
      <w:r w:rsidR="00F85BC0">
        <w:rPr>
          <w:rFonts w:ascii="Noto Serif" w:hAnsi="Noto Serif" w:cs="Noto Serif"/>
          <w:sz w:val="24"/>
        </w:rPr>
        <w:t>R</w:t>
      </w:r>
      <w:r w:rsidR="0074143A">
        <w:rPr>
          <w:rFonts w:ascii="Noto Serif" w:hAnsi="Noto Serif" w:cs="Noto Serif"/>
          <w:sz w:val="24"/>
        </w:rPr>
        <w:t>einsurance program</w:t>
      </w:r>
      <w:r w:rsidR="00F85BC0">
        <w:rPr>
          <w:rFonts w:ascii="Noto Serif" w:hAnsi="Noto Serif" w:cs="Noto Serif"/>
          <w:sz w:val="24"/>
        </w:rPr>
        <w:t>s are</w:t>
      </w:r>
      <w:r w:rsidR="0074143A">
        <w:rPr>
          <w:rFonts w:ascii="Noto Serif" w:hAnsi="Noto Serif" w:cs="Noto Serif"/>
          <w:sz w:val="24"/>
        </w:rPr>
        <w:t xml:space="preserve"> designed to help </w:t>
      </w:r>
      <w:r w:rsidR="002357D4">
        <w:rPr>
          <w:rFonts w:ascii="Noto Serif" w:hAnsi="Noto Serif" w:cs="Noto Serif"/>
          <w:sz w:val="24"/>
        </w:rPr>
        <w:t xml:space="preserve">mitigate risk and </w:t>
      </w:r>
      <w:r w:rsidR="0074143A">
        <w:rPr>
          <w:rFonts w:ascii="Noto Serif" w:hAnsi="Noto Serif" w:cs="Noto Serif"/>
          <w:sz w:val="24"/>
        </w:rPr>
        <w:t xml:space="preserve">guard </w:t>
      </w:r>
      <w:r w:rsidR="00E140DE">
        <w:rPr>
          <w:rFonts w:ascii="Noto Serif" w:hAnsi="Noto Serif" w:cs="Noto Serif"/>
          <w:sz w:val="24"/>
        </w:rPr>
        <w:t xml:space="preserve">insurers </w:t>
      </w:r>
      <w:r w:rsidR="0074143A">
        <w:rPr>
          <w:rFonts w:ascii="Noto Serif" w:hAnsi="Noto Serif" w:cs="Noto Serif"/>
          <w:sz w:val="24"/>
        </w:rPr>
        <w:t xml:space="preserve">against </w:t>
      </w:r>
      <w:r w:rsidR="00E140DE">
        <w:rPr>
          <w:rFonts w:ascii="Noto Serif" w:hAnsi="Noto Serif" w:cs="Noto Serif"/>
          <w:sz w:val="24"/>
        </w:rPr>
        <w:t>individuals with unexpectedly high costs</w:t>
      </w:r>
      <w:r w:rsidR="00F85BC0">
        <w:rPr>
          <w:rFonts w:ascii="Noto Serif" w:hAnsi="Noto Serif" w:cs="Noto Serif"/>
          <w:sz w:val="24"/>
        </w:rPr>
        <w:t xml:space="preserve"> by setting a limit </w:t>
      </w:r>
      <w:r w:rsidR="00AF1F95">
        <w:rPr>
          <w:rFonts w:ascii="Noto Serif" w:hAnsi="Noto Serif" w:cs="Noto Serif"/>
          <w:sz w:val="24"/>
        </w:rPr>
        <w:t xml:space="preserve">(in this </w:t>
      </w:r>
      <w:r w:rsidR="00AF1F95">
        <w:rPr>
          <w:rFonts w:ascii="Noto Serif" w:hAnsi="Noto Serif" w:cs="Noto Serif"/>
          <w:sz w:val="24"/>
        </w:rPr>
        <w:lastRenderedPageBreak/>
        <w:t xml:space="preserve">case, to be determined by the Secretary </w:t>
      </w:r>
      <w:r w:rsidR="00634CBB">
        <w:rPr>
          <w:rFonts w:ascii="Noto Serif" w:hAnsi="Noto Serif" w:cs="Noto Serif"/>
          <w:sz w:val="24"/>
        </w:rPr>
        <w:t xml:space="preserve">of </w:t>
      </w:r>
      <w:r w:rsidR="00AF1F95">
        <w:rPr>
          <w:rFonts w:ascii="Noto Serif" w:hAnsi="Noto Serif" w:cs="Noto Serif"/>
          <w:sz w:val="24"/>
        </w:rPr>
        <w:t xml:space="preserve">HHS) </w:t>
      </w:r>
      <w:r w:rsidR="00F85BC0">
        <w:rPr>
          <w:rFonts w:ascii="Noto Serif" w:hAnsi="Noto Serif" w:cs="Noto Serif"/>
          <w:sz w:val="24"/>
        </w:rPr>
        <w:t xml:space="preserve">for their liability for an individual’s medical claims, beyond which a third party (the federal government) would cover the remaining costs. All eligible entities are required to pay a </w:t>
      </w:r>
      <w:r w:rsidR="00C46C7D">
        <w:rPr>
          <w:rFonts w:ascii="Noto Serif" w:hAnsi="Noto Serif" w:cs="Noto Serif"/>
          <w:sz w:val="24"/>
        </w:rPr>
        <w:t>fee (again, an amount determined by HHS) to cover their share of the total amount</w:t>
      </w:r>
      <w:r w:rsidR="00F85BC0">
        <w:rPr>
          <w:rFonts w:ascii="Noto Serif" w:hAnsi="Noto Serif" w:cs="Noto Serif"/>
          <w:sz w:val="24"/>
        </w:rPr>
        <w:t xml:space="preserve"> </w:t>
      </w:r>
      <w:r w:rsidR="00C46C7D">
        <w:rPr>
          <w:rFonts w:ascii="Noto Serif" w:hAnsi="Noto Serif" w:cs="Noto Serif"/>
          <w:sz w:val="24"/>
        </w:rPr>
        <w:t>to be collected</w:t>
      </w:r>
      <w:r w:rsidR="00F85BC0">
        <w:rPr>
          <w:rFonts w:ascii="Noto Serif" w:hAnsi="Noto Serif" w:cs="Noto Serif"/>
          <w:sz w:val="24"/>
        </w:rPr>
        <w:t xml:space="preserve">; these funds would then be redistributed to insurers </w:t>
      </w:r>
      <w:r w:rsidR="00360A06">
        <w:rPr>
          <w:rFonts w:ascii="Noto Serif" w:hAnsi="Noto Serif" w:cs="Noto Serif"/>
          <w:sz w:val="24"/>
        </w:rPr>
        <w:t xml:space="preserve">to assist in </w:t>
      </w:r>
      <w:r w:rsidR="00F85BC0">
        <w:rPr>
          <w:rFonts w:ascii="Noto Serif" w:hAnsi="Noto Serif" w:cs="Noto Serif"/>
          <w:sz w:val="24"/>
        </w:rPr>
        <w:t>c</w:t>
      </w:r>
      <w:r w:rsidR="00360A06">
        <w:rPr>
          <w:rFonts w:ascii="Noto Serif" w:hAnsi="Noto Serif" w:cs="Noto Serif"/>
          <w:sz w:val="24"/>
        </w:rPr>
        <w:t xml:space="preserve">overing </w:t>
      </w:r>
      <w:r w:rsidR="00F85BC0">
        <w:rPr>
          <w:rFonts w:ascii="Noto Serif" w:hAnsi="Noto Serif" w:cs="Noto Serif"/>
          <w:sz w:val="24"/>
        </w:rPr>
        <w:t xml:space="preserve">individuals whose medical costs exceeded the predetermined limit. </w:t>
      </w:r>
      <w:r w:rsidR="0043627A">
        <w:rPr>
          <w:rFonts w:ascii="Noto Serif" w:hAnsi="Noto Serif" w:cs="Noto Serif"/>
          <w:sz w:val="24"/>
        </w:rPr>
        <w:t xml:space="preserve">Such a program was deemed critical </w:t>
      </w:r>
      <w:r w:rsidR="00C46C7D">
        <w:rPr>
          <w:rFonts w:ascii="Noto Serif" w:hAnsi="Noto Serif" w:cs="Noto Serif"/>
          <w:sz w:val="24"/>
        </w:rPr>
        <w:t xml:space="preserve">to the overall success of the reformed health care landscape </w:t>
      </w:r>
      <w:r w:rsidR="0043627A">
        <w:rPr>
          <w:rFonts w:ascii="Noto Serif" w:hAnsi="Noto Serif" w:cs="Noto Serif"/>
          <w:sz w:val="24"/>
        </w:rPr>
        <w:t xml:space="preserve">given </w:t>
      </w:r>
      <w:r w:rsidR="002E15F9">
        <w:rPr>
          <w:rFonts w:ascii="Noto Serif" w:hAnsi="Noto Serif" w:cs="Noto Serif"/>
          <w:sz w:val="24"/>
        </w:rPr>
        <w:t xml:space="preserve">that </w:t>
      </w:r>
      <w:r w:rsidR="0043627A">
        <w:rPr>
          <w:rFonts w:ascii="Noto Serif" w:hAnsi="Noto Serif" w:cs="Noto Serif"/>
          <w:sz w:val="24"/>
        </w:rPr>
        <w:t xml:space="preserve">the ACA </w:t>
      </w:r>
      <w:r w:rsidR="002E15F9">
        <w:rPr>
          <w:rFonts w:ascii="Noto Serif" w:hAnsi="Noto Serif" w:cs="Noto Serif"/>
          <w:sz w:val="24"/>
        </w:rPr>
        <w:t>dramatically restricted</w:t>
      </w:r>
      <w:r w:rsidR="0043627A">
        <w:rPr>
          <w:rFonts w:ascii="Noto Serif" w:hAnsi="Noto Serif" w:cs="Noto Serif"/>
          <w:sz w:val="24"/>
        </w:rPr>
        <w:t xml:space="preserve"> an insurer’s ability to mitigate their risk, particularly given the extreme uncertainty of the health status and needs of the individuals who would be enrolling in insurance plans for the first time in a long time, or possibly ever.</w:t>
      </w:r>
    </w:p>
    <w:p w14:paraId="22934423" w14:textId="77777777" w:rsidR="00FC2D2F" w:rsidRDefault="00FC2D2F">
      <w:pPr>
        <w:rPr>
          <w:rFonts w:ascii="Noto Serif" w:hAnsi="Noto Serif" w:cs="Noto Serif"/>
          <w:sz w:val="24"/>
        </w:rPr>
      </w:pPr>
    </w:p>
    <w:p w14:paraId="06A9C6B7" w14:textId="69B96AE3" w:rsidR="00EA3253" w:rsidRDefault="002C4EEF">
      <w:pPr>
        <w:rPr>
          <w:rFonts w:ascii="Noto Serif" w:hAnsi="Noto Serif" w:cs="Noto Serif"/>
          <w:sz w:val="24"/>
        </w:rPr>
      </w:pPr>
      <w:r>
        <w:rPr>
          <w:rFonts w:ascii="Noto Serif" w:hAnsi="Noto Serif" w:cs="Noto Serif"/>
          <w:sz w:val="24"/>
        </w:rPr>
        <w:lastRenderedPageBreak/>
        <w:t>Under th</w:t>
      </w:r>
      <w:r w:rsidR="00B618AC">
        <w:rPr>
          <w:rFonts w:ascii="Noto Serif" w:hAnsi="Noto Serif" w:cs="Noto Serif"/>
          <w:sz w:val="24"/>
        </w:rPr>
        <w:t>e</w:t>
      </w:r>
      <w:r>
        <w:rPr>
          <w:rFonts w:ascii="Noto Serif" w:hAnsi="Noto Serif" w:cs="Noto Serif"/>
          <w:sz w:val="24"/>
        </w:rPr>
        <w:t xml:space="preserve"> provision of the ACA</w:t>
      </w:r>
      <w:r w:rsidR="00B618AC">
        <w:rPr>
          <w:rFonts w:ascii="Noto Serif" w:hAnsi="Noto Serif" w:cs="Noto Serif"/>
          <w:sz w:val="24"/>
        </w:rPr>
        <w:t xml:space="preserve"> creating the reinsurance program</w:t>
      </w:r>
      <w:r>
        <w:rPr>
          <w:rFonts w:ascii="Noto Serif" w:hAnsi="Noto Serif" w:cs="Noto Serif"/>
          <w:sz w:val="24"/>
        </w:rPr>
        <w:t>, i</w:t>
      </w:r>
      <w:r w:rsidR="0091112C" w:rsidRPr="009002CC">
        <w:rPr>
          <w:rFonts w:ascii="Noto Serif" w:hAnsi="Noto Serif" w:cs="Noto Serif"/>
          <w:sz w:val="24"/>
        </w:rPr>
        <w:t>nsurers are required to pay reinsurance fees in 2014, 2015, and 2016 to cover the costs of the program, and</w:t>
      </w:r>
      <w:r w:rsidR="00E17660">
        <w:rPr>
          <w:rFonts w:ascii="Noto Serif" w:hAnsi="Noto Serif" w:cs="Noto Serif"/>
          <w:sz w:val="24"/>
        </w:rPr>
        <w:t xml:space="preserve"> also</w:t>
      </w:r>
      <w:r w:rsidR="0091112C" w:rsidRPr="009002CC">
        <w:rPr>
          <w:rFonts w:ascii="Noto Serif" w:hAnsi="Noto Serif" w:cs="Noto Serif"/>
          <w:sz w:val="24"/>
        </w:rPr>
        <w:t xml:space="preserve"> </w:t>
      </w:r>
      <w:r>
        <w:rPr>
          <w:rFonts w:ascii="Noto Serif" w:hAnsi="Noto Serif" w:cs="Noto Serif"/>
          <w:sz w:val="24"/>
        </w:rPr>
        <w:t xml:space="preserve">to make </w:t>
      </w:r>
      <w:r w:rsidR="0091112C" w:rsidRPr="009002CC">
        <w:rPr>
          <w:rFonts w:ascii="Noto Serif" w:hAnsi="Noto Serif" w:cs="Noto Serif"/>
          <w:sz w:val="24"/>
        </w:rPr>
        <w:t xml:space="preserve">payments to the </w:t>
      </w:r>
      <w:r>
        <w:rPr>
          <w:rFonts w:ascii="Noto Serif" w:hAnsi="Noto Serif" w:cs="Noto Serif"/>
          <w:sz w:val="24"/>
        </w:rPr>
        <w:t xml:space="preserve">U.S. </w:t>
      </w:r>
      <w:r w:rsidR="0091112C" w:rsidRPr="009002CC">
        <w:rPr>
          <w:rFonts w:ascii="Noto Serif" w:hAnsi="Noto Serif" w:cs="Noto Serif"/>
          <w:sz w:val="24"/>
        </w:rPr>
        <w:t>Treasury</w:t>
      </w:r>
      <w:r>
        <w:rPr>
          <w:rFonts w:ascii="Noto Serif" w:hAnsi="Noto Serif" w:cs="Noto Serif"/>
          <w:sz w:val="24"/>
        </w:rPr>
        <w:t>’s general fund</w:t>
      </w:r>
      <w:r w:rsidR="0091112C" w:rsidRPr="009002CC">
        <w:rPr>
          <w:rFonts w:ascii="Noto Serif" w:hAnsi="Noto Serif" w:cs="Noto Serif"/>
          <w:sz w:val="24"/>
        </w:rPr>
        <w:t>.</w:t>
      </w:r>
      <w:r w:rsidR="00C20C5F">
        <w:rPr>
          <w:rFonts w:ascii="Noto Serif" w:hAnsi="Noto Serif" w:cs="Noto Serif"/>
          <w:sz w:val="24"/>
        </w:rPr>
        <w:t xml:space="preserve"> </w:t>
      </w:r>
      <w:r w:rsidR="00842EF9">
        <w:rPr>
          <w:rFonts w:ascii="Noto Serif" w:hAnsi="Noto Serif" w:cs="Noto Serif"/>
          <w:sz w:val="24"/>
        </w:rPr>
        <w:t xml:space="preserve">The amount each insurer must pay is to be reflective of their share of the insured population; the law calls for the Secretary of </w:t>
      </w:r>
      <w:r w:rsidR="00360A06">
        <w:rPr>
          <w:rFonts w:ascii="Noto Serif" w:hAnsi="Noto Serif" w:cs="Noto Serif"/>
          <w:sz w:val="24"/>
        </w:rPr>
        <w:t>HHS</w:t>
      </w:r>
      <w:r w:rsidR="00842EF9">
        <w:rPr>
          <w:rFonts w:ascii="Noto Serif" w:hAnsi="Noto Serif" w:cs="Noto Serif"/>
          <w:sz w:val="24"/>
        </w:rPr>
        <w:t xml:space="preserve"> to determine the method and formula to be used to calculate each insurer’s share such that all necessary funds are raised. </w:t>
      </w:r>
      <w:r w:rsidR="00C20C5F">
        <w:rPr>
          <w:rFonts w:ascii="Noto Serif" w:hAnsi="Noto Serif" w:cs="Noto Serif"/>
          <w:sz w:val="24"/>
        </w:rPr>
        <w:t xml:space="preserve">As laid out in </w:t>
      </w:r>
      <w:hyperlink r:id="rId8" w:history="1">
        <w:r w:rsidR="00C20C5F" w:rsidRPr="00C20C5F">
          <w:rPr>
            <w:rStyle w:val="Hyperlink"/>
            <w:rFonts w:ascii="Noto Serif" w:hAnsi="Noto Serif" w:cs="Noto Serif"/>
            <w:sz w:val="24"/>
          </w:rPr>
          <w:t>§1341(b)(3)(B)</w:t>
        </w:r>
      </w:hyperlink>
      <w:r w:rsidR="00C20C5F">
        <w:rPr>
          <w:rFonts w:ascii="Noto Serif" w:hAnsi="Noto Serif" w:cs="Noto Serif"/>
          <w:sz w:val="24"/>
        </w:rPr>
        <w:t>, the amounts to be collected for reinsurance payments were $10 billion in 2014, $6 billion in 2015, and $4 billion in 2016</w:t>
      </w:r>
      <w:r w:rsidR="002E15F9">
        <w:rPr>
          <w:rFonts w:ascii="Noto Serif" w:hAnsi="Noto Serif" w:cs="Noto Serif"/>
          <w:sz w:val="24"/>
        </w:rPr>
        <w:t>.</w:t>
      </w:r>
      <w:r w:rsidR="00C20C5F">
        <w:rPr>
          <w:rFonts w:ascii="Noto Serif" w:hAnsi="Noto Serif" w:cs="Noto Serif"/>
          <w:sz w:val="24"/>
        </w:rPr>
        <w:t xml:space="preserve"> </w:t>
      </w:r>
      <w:r w:rsidR="002E15F9">
        <w:rPr>
          <w:rFonts w:ascii="Noto Serif" w:hAnsi="Noto Serif" w:cs="Noto Serif"/>
          <w:sz w:val="24"/>
        </w:rPr>
        <w:t>A</w:t>
      </w:r>
      <w:r w:rsidR="00F072DF">
        <w:rPr>
          <w:rFonts w:ascii="Noto Serif" w:hAnsi="Noto Serif" w:cs="Noto Serif"/>
          <w:sz w:val="24"/>
        </w:rPr>
        <w:t xml:space="preserve">dditional contributions of </w:t>
      </w:r>
      <w:r w:rsidR="00C20C5F">
        <w:rPr>
          <w:rFonts w:ascii="Noto Serif" w:hAnsi="Noto Serif" w:cs="Noto Serif"/>
          <w:sz w:val="24"/>
        </w:rPr>
        <w:t>$2 billion for 2014, $2 billion for 2015, and $1 billion for 2016</w:t>
      </w:r>
      <w:r w:rsidR="00F072DF">
        <w:rPr>
          <w:rFonts w:ascii="Noto Serif" w:hAnsi="Noto Serif" w:cs="Noto Serif"/>
          <w:sz w:val="24"/>
        </w:rPr>
        <w:t xml:space="preserve"> were also required to be collected</w:t>
      </w:r>
      <w:r w:rsidR="00842EF9">
        <w:rPr>
          <w:rFonts w:ascii="Noto Serif" w:hAnsi="Noto Serif" w:cs="Noto Serif"/>
          <w:sz w:val="24"/>
        </w:rPr>
        <w:t xml:space="preserve"> through these fees</w:t>
      </w:r>
      <w:r w:rsidR="002E15F9">
        <w:rPr>
          <w:rFonts w:ascii="Noto Serif" w:hAnsi="Noto Serif" w:cs="Noto Serif"/>
          <w:sz w:val="24"/>
        </w:rPr>
        <w:t xml:space="preserve"> and paid to the Treasury</w:t>
      </w:r>
      <w:r w:rsidR="00F61E99">
        <w:rPr>
          <w:rFonts w:ascii="Noto Serif" w:hAnsi="Noto Serif" w:cs="Noto Serif"/>
          <w:sz w:val="24"/>
        </w:rPr>
        <w:t>.</w:t>
      </w:r>
      <w:r w:rsidR="002E15F9">
        <w:rPr>
          <w:rFonts w:ascii="Noto Serif" w:hAnsi="Noto Serif" w:cs="Noto Serif"/>
          <w:sz w:val="24"/>
        </w:rPr>
        <w:t xml:space="preserve"> </w:t>
      </w:r>
      <w:r w:rsidR="00F61E99">
        <w:rPr>
          <w:rFonts w:ascii="Noto Serif" w:hAnsi="Noto Serif" w:cs="Noto Serif"/>
          <w:sz w:val="24"/>
        </w:rPr>
        <w:t>S</w:t>
      </w:r>
      <w:r w:rsidR="002E15F9">
        <w:rPr>
          <w:rFonts w:ascii="Noto Serif" w:hAnsi="Noto Serif" w:cs="Noto Serif"/>
          <w:sz w:val="24"/>
        </w:rPr>
        <w:t>pecifically</w:t>
      </w:r>
      <w:r w:rsidR="00C222B5">
        <w:rPr>
          <w:rFonts w:ascii="Noto Serif" w:hAnsi="Noto Serif" w:cs="Noto Serif"/>
          <w:sz w:val="24"/>
        </w:rPr>
        <w:t>,</w:t>
      </w:r>
      <w:r w:rsidR="00C20C5F">
        <w:rPr>
          <w:rFonts w:ascii="Noto Serif" w:hAnsi="Noto Serif" w:cs="Noto Serif"/>
          <w:sz w:val="24"/>
        </w:rPr>
        <w:t xml:space="preserve"> </w:t>
      </w:r>
      <w:r w:rsidR="00F072DF">
        <w:rPr>
          <w:rFonts w:ascii="Noto Serif" w:hAnsi="Noto Serif" w:cs="Noto Serif"/>
          <w:sz w:val="24"/>
        </w:rPr>
        <w:t>§1341(b)(4) stipulates that those additional contributions “</w:t>
      </w:r>
      <w:r w:rsidR="00F072DF" w:rsidRPr="00F072DF">
        <w:rPr>
          <w:rFonts w:ascii="Noto Serif" w:hAnsi="Noto Serif" w:cs="Noto Serif"/>
          <w:i/>
          <w:sz w:val="24"/>
        </w:rPr>
        <w:t>shall</w:t>
      </w:r>
      <w:r w:rsidR="00F072DF">
        <w:rPr>
          <w:rFonts w:ascii="Noto Serif" w:hAnsi="Noto Serif" w:cs="Noto Serif"/>
          <w:sz w:val="24"/>
        </w:rPr>
        <w:t xml:space="preserve"> be deposited into the general fund of the Treasury of the United States </w:t>
      </w:r>
      <w:r w:rsidR="00F072DF">
        <w:rPr>
          <w:rFonts w:ascii="Noto Serif" w:hAnsi="Noto Serif" w:cs="Noto Serif"/>
          <w:sz w:val="24"/>
        </w:rPr>
        <w:lastRenderedPageBreak/>
        <w:t xml:space="preserve">and </w:t>
      </w:r>
      <w:r w:rsidR="00F072DF" w:rsidRPr="00F072DF">
        <w:rPr>
          <w:rFonts w:ascii="Noto Serif" w:hAnsi="Noto Serif" w:cs="Noto Serif"/>
          <w:i/>
          <w:sz w:val="24"/>
        </w:rPr>
        <w:t>may not</w:t>
      </w:r>
      <w:r w:rsidR="00F072DF">
        <w:rPr>
          <w:rFonts w:ascii="Noto Serif" w:hAnsi="Noto Serif" w:cs="Noto Serif"/>
          <w:sz w:val="24"/>
        </w:rPr>
        <w:t xml:space="preserve"> be used for </w:t>
      </w:r>
      <w:r w:rsidR="008678DC">
        <w:rPr>
          <w:rFonts w:ascii="Noto Serif" w:hAnsi="Noto Serif" w:cs="Noto Serif"/>
          <w:sz w:val="24"/>
        </w:rPr>
        <w:t xml:space="preserve">the </w:t>
      </w:r>
      <w:r w:rsidR="00F072DF">
        <w:rPr>
          <w:rFonts w:ascii="Noto Serif" w:hAnsi="Noto Serif" w:cs="Noto Serif"/>
          <w:sz w:val="24"/>
        </w:rPr>
        <w:t xml:space="preserve">[reinsurance] program...” </w:t>
      </w:r>
      <w:r w:rsidR="00F072DF" w:rsidRPr="00F072DF">
        <w:rPr>
          <w:rFonts w:ascii="Noto Serif" w:hAnsi="Noto Serif" w:cs="Noto Serif"/>
          <w:i/>
          <w:sz w:val="24"/>
        </w:rPr>
        <w:t>[emphasis added]</w:t>
      </w:r>
      <w:r w:rsidR="00F072DF">
        <w:rPr>
          <w:rFonts w:ascii="Noto Serif" w:hAnsi="Noto Serif" w:cs="Noto Serif"/>
          <w:sz w:val="24"/>
        </w:rPr>
        <w:t xml:space="preserve">. </w:t>
      </w:r>
    </w:p>
    <w:p w14:paraId="3A38FF59" w14:textId="77777777" w:rsidR="00EA3253" w:rsidRDefault="00EA3253">
      <w:pPr>
        <w:rPr>
          <w:rFonts w:ascii="Noto Serif" w:hAnsi="Noto Serif" w:cs="Noto Serif"/>
          <w:sz w:val="24"/>
        </w:rPr>
      </w:pPr>
    </w:p>
    <w:p w14:paraId="37A8BAE5" w14:textId="084256DE" w:rsidR="00EE2F8A" w:rsidRDefault="0043623A">
      <w:pPr>
        <w:rPr>
          <w:rFonts w:ascii="Noto Serif" w:hAnsi="Noto Serif" w:cs="Noto Serif"/>
          <w:sz w:val="24"/>
        </w:rPr>
      </w:pPr>
      <w:r>
        <w:rPr>
          <w:rFonts w:ascii="Noto Serif" w:hAnsi="Noto Serif" w:cs="Noto Serif"/>
          <w:sz w:val="24"/>
        </w:rPr>
        <w:t xml:space="preserve">However, an insufficient amount of funds has been raised </w:t>
      </w:r>
      <w:r w:rsidR="00360A06">
        <w:rPr>
          <w:rFonts w:ascii="Noto Serif" w:hAnsi="Noto Serif" w:cs="Noto Serif"/>
          <w:sz w:val="24"/>
        </w:rPr>
        <w:t xml:space="preserve">the last two years </w:t>
      </w:r>
      <w:r>
        <w:rPr>
          <w:rFonts w:ascii="Noto Serif" w:hAnsi="Noto Serif" w:cs="Noto Serif"/>
          <w:sz w:val="24"/>
        </w:rPr>
        <w:t xml:space="preserve">to meet these requirements. </w:t>
      </w:r>
      <w:r w:rsidR="000B5D6B">
        <w:rPr>
          <w:rFonts w:ascii="Noto Serif" w:hAnsi="Noto Serif" w:cs="Noto Serif"/>
          <w:sz w:val="24"/>
        </w:rPr>
        <w:t xml:space="preserve">In 2014, </w:t>
      </w:r>
      <w:r w:rsidR="008E782C">
        <w:rPr>
          <w:rFonts w:ascii="Noto Serif" w:hAnsi="Noto Serif" w:cs="Noto Serif"/>
          <w:sz w:val="24"/>
        </w:rPr>
        <w:t xml:space="preserve">an estimated </w:t>
      </w:r>
      <w:hyperlink r:id="rId9" w:history="1">
        <w:r w:rsidR="008E782C" w:rsidRPr="00B739ED">
          <w:rPr>
            <w:rStyle w:val="Hyperlink"/>
            <w:rFonts w:ascii="Noto Serif" w:hAnsi="Noto Serif" w:cs="Noto Serif"/>
            <w:sz w:val="24"/>
          </w:rPr>
          <w:t>$9.7</w:t>
        </w:r>
        <w:r w:rsidR="005D53AF" w:rsidRPr="00B739ED">
          <w:rPr>
            <w:rStyle w:val="Hyperlink"/>
            <w:rFonts w:ascii="Noto Serif" w:hAnsi="Noto Serif" w:cs="Noto Serif"/>
            <w:sz w:val="24"/>
          </w:rPr>
          <w:t xml:space="preserve"> billion was collected</w:t>
        </w:r>
      </w:hyperlink>
      <w:r w:rsidR="005D53AF">
        <w:rPr>
          <w:rFonts w:ascii="Noto Serif" w:hAnsi="Noto Serif" w:cs="Noto Serif"/>
          <w:sz w:val="24"/>
        </w:rPr>
        <w:t xml:space="preserve">, </w:t>
      </w:r>
      <w:r w:rsidR="008E782C">
        <w:rPr>
          <w:rFonts w:ascii="Noto Serif" w:hAnsi="Noto Serif" w:cs="Noto Serif"/>
          <w:sz w:val="24"/>
        </w:rPr>
        <w:t>roughly $2 billion</w:t>
      </w:r>
      <w:r w:rsidR="008678DC">
        <w:rPr>
          <w:rFonts w:ascii="Noto Serif" w:hAnsi="Noto Serif" w:cs="Noto Serif"/>
          <w:sz w:val="24"/>
        </w:rPr>
        <w:t xml:space="preserve"> </w:t>
      </w:r>
      <w:r w:rsidR="005D53AF">
        <w:rPr>
          <w:rFonts w:ascii="Noto Serif" w:hAnsi="Noto Serif" w:cs="Noto Serif"/>
          <w:sz w:val="24"/>
        </w:rPr>
        <w:t xml:space="preserve">short of the $12 billion total that was required </w:t>
      </w:r>
      <w:r w:rsidR="008678DC">
        <w:rPr>
          <w:rFonts w:ascii="Noto Serif" w:hAnsi="Noto Serif" w:cs="Noto Serif"/>
          <w:sz w:val="24"/>
        </w:rPr>
        <w:t xml:space="preserve">by law </w:t>
      </w:r>
      <w:r w:rsidR="005D53AF">
        <w:rPr>
          <w:rFonts w:ascii="Noto Serif" w:hAnsi="Noto Serif" w:cs="Noto Serif"/>
          <w:sz w:val="24"/>
        </w:rPr>
        <w:t>to be collected. For the 2015 benefit year, HHS only expects to collect $6.5 billion or $1.5 billion short of the total that was to be collected. The law does not stipulate how to divvy up the payments in the event of a shortfall</w:t>
      </w:r>
      <w:r w:rsidR="006F3235">
        <w:rPr>
          <w:rFonts w:ascii="Noto Serif" w:hAnsi="Noto Serif" w:cs="Noto Serif"/>
          <w:sz w:val="24"/>
        </w:rPr>
        <w:t xml:space="preserve">. In May 2014, </w:t>
      </w:r>
      <w:r w:rsidR="005D53AF">
        <w:rPr>
          <w:rFonts w:ascii="Noto Serif" w:hAnsi="Noto Serif" w:cs="Noto Serif"/>
          <w:sz w:val="24"/>
        </w:rPr>
        <w:t xml:space="preserve">HHS published a </w:t>
      </w:r>
      <w:hyperlink r:id="rId10" w:history="1">
        <w:r w:rsidR="005D53AF" w:rsidRPr="00EE2F8A">
          <w:rPr>
            <w:rStyle w:val="Hyperlink"/>
            <w:rFonts w:ascii="Noto Serif" w:hAnsi="Noto Serif" w:cs="Noto Serif"/>
            <w:sz w:val="24"/>
          </w:rPr>
          <w:t>rule</w:t>
        </w:r>
      </w:hyperlink>
      <w:r w:rsidR="005D53AF">
        <w:rPr>
          <w:rFonts w:ascii="Noto Serif" w:hAnsi="Noto Serif" w:cs="Noto Serif"/>
          <w:sz w:val="24"/>
        </w:rPr>
        <w:t xml:space="preserve"> </w:t>
      </w:r>
      <w:r w:rsidR="00B618AC">
        <w:rPr>
          <w:rFonts w:ascii="Noto Serif" w:hAnsi="Noto Serif" w:cs="Noto Serif"/>
          <w:sz w:val="24"/>
        </w:rPr>
        <w:t>declaring</w:t>
      </w:r>
      <w:r w:rsidR="005D53AF">
        <w:rPr>
          <w:rFonts w:ascii="Noto Serif" w:hAnsi="Noto Serif" w:cs="Noto Serif"/>
          <w:sz w:val="24"/>
        </w:rPr>
        <w:t xml:space="preserve"> how such</w:t>
      </w:r>
      <w:r w:rsidR="00EE2F8A">
        <w:rPr>
          <w:rFonts w:ascii="Noto Serif" w:hAnsi="Noto Serif" w:cs="Noto Serif"/>
          <w:sz w:val="24"/>
        </w:rPr>
        <w:t xml:space="preserve"> a situation </w:t>
      </w:r>
      <w:r w:rsidR="00B618AC">
        <w:rPr>
          <w:rFonts w:ascii="Noto Serif" w:hAnsi="Noto Serif" w:cs="Noto Serif"/>
          <w:sz w:val="24"/>
        </w:rPr>
        <w:t>wo</w:t>
      </w:r>
      <w:r w:rsidR="00EE2F8A">
        <w:rPr>
          <w:rFonts w:ascii="Noto Serif" w:hAnsi="Noto Serif" w:cs="Noto Serif"/>
          <w:sz w:val="24"/>
        </w:rPr>
        <w:t xml:space="preserve">uld be handled. </w:t>
      </w:r>
      <w:r w:rsidR="00451029">
        <w:rPr>
          <w:rFonts w:ascii="Noto Serif" w:hAnsi="Noto Serif" w:cs="Noto Serif"/>
          <w:sz w:val="24"/>
        </w:rPr>
        <w:t>HHS decided that payments to the insurers should be made first, and any remaining funds</w:t>
      </w:r>
      <w:r w:rsidR="00360A06">
        <w:rPr>
          <w:rFonts w:ascii="Noto Serif" w:hAnsi="Noto Serif" w:cs="Noto Serif"/>
          <w:sz w:val="24"/>
        </w:rPr>
        <w:t xml:space="preserve"> (above the amount to be collected specifically for reinsurance payments)</w:t>
      </w:r>
      <w:r w:rsidR="00451029">
        <w:rPr>
          <w:rFonts w:ascii="Noto Serif" w:hAnsi="Noto Serif" w:cs="Noto Serif"/>
          <w:sz w:val="24"/>
        </w:rPr>
        <w:t xml:space="preserve"> should be divided up between </w:t>
      </w:r>
      <w:r w:rsidR="00027491">
        <w:rPr>
          <w:rFonts w:ascii="Noto Serif" w:hAnsi="Noto Serif" w:cs="Noto Serif"/>
          <w:sz w:val="24"/>
        </w:rPr>
        <w:t xml:space="preserve">payments to the Treasury and payments to cover the costs of administering the reinsurance program. </w:t>
      </w:r>
      <w:r w:rsidR="00E64134">
        <w:rPr>
          <w:rFonts w:ascii="Noto Serif" w:hAnsi="Noto Serif" w:cs="Noto Serif"/>
          <w:sz w:val="24"/>
        </w:rPr>
        <w:t xml:space="preserve">Due to the shortcomings </w:t>
      </w:r>
      <w:r w:rsidR="00E64134">
        <w:rPr>
          <w:rFonts w:ascii="Noto Serif" w:hAnsi="Noto Serif" w:cs="Noto Serif"/>
          <w:sz w:val="24"/>
        </w:rPr>
        <w:lastRenderedPageBreak/>
        <w:t>and HHS’s decision, deposits to the Treasury will now be $3.5 billion short</w:t>
      </w:r>
      <w:r w:rsidR="00B618AC">
        <w:rPr>
          <w:rFonts w:ascii="Noto Serif" w:hAnsi="Noto Serif" w:cs="Noto Serif"/>
          <w:sz w:val="24"/>
        </w:rPr>
        <w:t xml:space="preserve"> after the first two years of the program</w:t>
      </w:r>
      <w:r w:rsidR="00E64134">
        <w:rPr>
          <w:rFonts w:ascii="Noto Serif" w:hAnsi="Noto Serif" w:cs="Noto Serif"/>
          <w:sz w:val="24"/>
        </w:rPr>
        <w:t xml:space="preserve">. </w:t>
      </w:r>
    </w:p>
    <w:p w14:paraId="5F16BA8E" w14:textId="77777777" w:rsidR="00C76E72" w:rsidRDefault="00C76E72">
      <w:pPr>
        <w:rPr>
          <w:rFonts w:ascii="Noto Serif" w:hAnsi="Noto Serif" w:cs="Noto Serif"/>
          <w:sz w:val="24"/>
        </w:rPr>
      </w:pPr>
    </w:p>
    <w:p w14:paraId="05FFD1DA" w14:textId="77777777" w:rsidR="00EF471D" w:rsidRDefault="00EF471D" w:rsidP="00EF471D">
      <w:pPr>
        <w:rPr>
          <w:rFonts w:ascii="Noto Serif" w:hAnsi="Noto Serif" w:cs="Noto Serif"/>
          <w:sz w:val="24"/>
        </w:rPr>
      </w:pPr>
      <w:r>
        <w:rPr>
          <w:rFonts w:ascii="Noto Serif" w:hAnsi="Noto Serif" w:cs="Noto Serif"/>
          <w:sz w:val="24"/>
        </w:rPr>
        <w:t xml:space="preserve">At question is what share of the payments should </w:t>
      </w:r>
      <w:r w:rsidR="008615FD">
        <w:rPr>
          <w:rFonts w:ascii="Noto Serif" w:hAnsi="Noto Serif" w:cs="Noto Serif"/>
          <w:sz w:val="24"/>
        </w:rPr>
        <w:t xml:space="preserve">have </w:t>
      </w:r>
      <w:r>
        <w:rPr>
          <w:rFonts w:ascii="Noto Serif" w:hAnsi="Noto Serif" w:cs="Noto Serif"/>
          <w:sz w:val="24"/>
        </w:rPr>
        <w:t>be</w:t>
      </w:r>
      <w:r w:rsidR="008615FD">
        <w:rPr>
          <w:rFonts w:ascii="Noto Serif" w:hAnsi="Noto Serif" w:cs="Noto Serif"/>
          <w:sz w:val="24"/>
        </w:rPr>
        <w:t>en</w:t>
      </w:r>
      <w:r>
        <w:rPr>
          <w:rFonts w:ascii="Noto Serif" w:hAnsi="Noto Serif" w:cs="Noto Serif"/>
          <w:sz w:val="24"/>
        </w:rPr>
        <w:t xml:space="preserve"> made to the Treasury given the shortfalls which have occurred, and the timing of when such payments </w:t>
      </w:r>
      <w:r w:rsidR="00584986">
        <w:rPr>
          <w:rFonts w:ascii="Noto Serif" w:hAnsi="Noto Serif" w:cs="Noto Serif"/>
          <w:sz w:val="24"/>
        </w:rPr>
        <w:t>must</w:t>
      </w:r>
      <w:r>
        <w:rPr>
          <w:rFonts w:ascii="Noto Serif" w:hAnsi="Noto Serif" w:cs="Noto Serif"/>
          <w:sz w:val="24"/>
        </w:rPr>
        <w:t xml:space="preserve"> be made.</w:t>
      </w:r>
    </w:p>
    <w:p w14:paraId="422239C3" w14:textId="77777777" w:rsidR="00EF471D" w:rsidRDefault="00EF471D" w:rsidP="00C76E72">
      <w:pPr>
        <w:rPr>
          <w:rFonts w:ascii="Noto Serif" w:hAnsi="Noto Serif" w:cs="Noto Serif"/>
          <w:sz w:val="24"/>
        </w:rPr>
      </w:pPr>
    </w:p>
    <w:p w14:paraId="360ED611" w14:textId="3A699FA8" w:rsidR="00EF471D" w:rsidRDefault="00C76E72" w:rsidP="00C76E72">
      <w:pPr>
        <w:rPr>
          <w:rFonts w:ascii="Noto Serif" w:hAnsi="Noto Serif" w:cs="Noto Serif"/>
          <w:sz w:val="24"/>
        </w:rPr>
      </w:pPr>
      <w:r>
        <w:rPr>
          <w:rFonts w:ascii="Noto Serif" w:hAnsi="Noto Serif" w:cs="Noto Serif"/>
          <w:sz w:val="24"/>
        </w:rPr>
        <w:t xml:space="preserve">This rule is in clear violation of the language of the statute. The law </w:t>
      </w:r>
      <w:r w:rsidR="00565C35">
        <w:rPr>
          <w:rFonts w:ascii="Noto Serif" w:hAnsi="Noto Serif" w:cs="Noto Serif"/>
          <w:sz w:val="24"/>
        </w:rPr>
        <w:t xml:space="preserve">(§1341(b)(4) quoted above) </w:t>
      </w:r>
      <w:r w:rsidR="002E15F9">
        <w:rPr>
          <w:rFonts w:ascii="Noto Serif" w:hAnsi="Noto Serif" w:cs="Noto Serif"/>
          <w:sz w:val="24"/>
        </w:rPr>
        <w:t xml:space="preserve">explicitly </w:t>
      </w:r>
      <w:r>
        <w:rPr>
          <w:rFonts w:ascii="Noto Serif" w:hAnsi="Noto Serif" w:cs="Noto Serif"/>
          <w:sz w:val="24"/>
        </w:rPr>
        <w:t xml:space="preserve">states that </w:t>
      </w:r>
      <w:r w:rsidR="00206609">
        <w:rPr>
          <w:rFonts w:ascii="Noto Serif" w:hAnsi="Noto Serif" w:cs="Noto Serif"/>
          <w:sz w:val="24"/>
        </w:rPr>
        <w:t>each insurer’s share of the</w:t>
      </w:r>
      <w:r>
        <w:rPr>
          <w:rFonts w:ascii="Noto Serif" w:hAnsi="Noto Serif" w:cs="Noto Serif"/>
          <w:sz w:val="24"/>
        </w:rPr>
        <w:t xml:space="preserve"> funds raised by this fee must include </w:t>
      </w:r>
      <w:r w:rsidR="00B00E0D">
        <w:rPr>
          <w:rFonts w:ascii="Noto Serif" w:hAnsi="Noto Serif" w:cs="Noto Serif"/>
          <w:sz w:val="24"/>
        </w:rPr>
        <w:t xml:space="preserve">its share of the </w:t>
      </w:r>
      <w:r w:rsidR="0069357E">
        <w:rPr>
          <w:rFonts w:ascii="Noto Serif" w:hAnsi="Noto Serif" w:cs="Noto Serif"/>
          <w:sz w:val="24"/>
        </w:rPr>
        <w:t>amount</w:t>
      </w:r>
      <w:r>
        <w:rPr>
          <w:rFonts w:ascii="Noto Serif" w:hAnsi="Noto Serif" w:cs="Noto Serif"/>
          <w:sz w:val="24"/>
        </w:rPr>
        <w:t xml:space="preserve"> to be paid to the Treasury</w:t>
      </w:r>
      <w:r w:rsidR="00B00E0D">
        <w:rPr>
          <w:rFonts w:ascii="Noto Serif" w:hAnsi="Noto Serif" w:cs="Noto Serif"/>
          <w:sz w:val="24"/>
        </w:rPr>
        <w:t xml:space="preserve"> each year</w:t>
      </w:r>
      <w:r>
        <w:rPr>
          <w:rFonts w:ascii="Noto Serif" w:hAnsi="Noto Serif" w:cs="Noto Serif"/>
          <w:sz w:val="24"/>
        </w:rPr>
        <w:t xml:space="preserve">, and those funds must be paid to the Treasury and may not be used for the reinsurance program. In a </w:t>
      </w:r>
      <w:hyperlink r:id="rId11" w:history="1">
        <w:r w:rsidRPr="00FF5EFC">
          <w:rPr>
            <w:rStyle w:val="Hyperlink"/>
            <w:rFonts w:ascii="Noto Serif" w:hAnsi="Noto Serif" w:cs="Noto Serif"/>
            <w:sz w:val="24"/>
          </w:rPr>
          <w:t>memorandum</w:t>
        </w:r>
      </w:hyperlink>
      <w:r>
        <w:rPr>
          <w:rFonts w:ascii="Noto Serif" w:hAnsi="Noto Serif" w:cs="Noto Serif"/>
          <w:sz w:val="24"/>
        </w:rPr>
        <w:t xml:space="preserve"> issued by the Congressional Research Service (CRS)</w:t>
      </w:r>
      <w:r w:rsidRPr="00C76E72">
        <w:rPr>
          <w:rFonts w:ascii="Noto Serif" w:hAnsi="Noto Serif" w:cs="Noto Serif"/>
          <w:sz w:val="24"/>
        </w:rPr>
        <w:t xml:space="preserve"> </w:t>
      </w:r>
      <w:r>
        <w:rPr>
          <w:rFonts w:ascii="Noto Serif" w:hAnsi="Noto Serif" w:cs="Noto Serif"/>
          <w:sz w:val="24"/>
        </w:rPr>
        <w:t xml:space="preserve">on February 23, 2016, CRS explains </w:t>
      </w:r>
      <w:r w:rsidR="00B00E0D">
        <w:rPr>
          <w:rFonts w:ascii="Noto Serif" w:hAnsi="Noto Serif" w:cs="Noto Serif"/>
          <w:sz w:val="24"/>
        </w:rPr>
        <w:t xml:space="preserve">that HHS’s interpretation of the law, that only funds raised in excess of the amounts to </w:t>
      </w:r>
      <w:r w:rsidR="00B00E0D">
        <w:rPr>
          <w:rFonts w:ascii="Noto Serif" w:hAnsi="Noto Serif" w:cs="Noto Serif"/>
          <w:sz w:val="24"/>
        </w:rPr>
        <w:lastRenderedPageBreak/>
        <w:t>be raised specifically for the reinsurance payments are to be used to make payments to the Treasury, “would appear to be in conflict with the plain text of §1341(b)(4)</w:t>
      </w:r>
      <w:r w:rsidR="006F3235">
        <w:rPr>
          <w:rFonts w:ascii="Noto Serif" w:hAnsi="Noto Serif" w:cs="Noto Serif"/>
          <w:sz w:val="24"/>
        </w:rPr>
        <w:t>.</w:t>
      </w:r>
      <w:r w:rsidR="0069357E">
        <w:rPr>
          <w:rFonts w:ascii="Noto Serif" w:hAnsi="Noto Serif" w:cs="Noto Serif"/>
          <w:sz w:val="24"/>
        </w:rPr>
        <w:t>”</w:t>
      </w:r>
      <w:r w:rsidR="00B00E0D">
        <w:rPr>
          <w:rFonts w:ascii="Noto Serif" w:hAnsi="Noto Serif" w:cs="Noto Serif"/>
          <w:sz w:val="24"/>
        </w:rPr>
        <w:t xml:space="preserve">  </w:t>
      </w:r>
      <w:r w:rsidR="00565C35">
        <w:rPr>
          <w:rFonts w:ascii="Noto Serif" w:hAnsi="Noto Serif" w:cs="Noto Serif"/>
          <w:sz w:val="24"/>
        </w:rPr>
        <w:t>The memo goes on to state that HHS’s claim that the language surrounding the amounts to be collected and deposited to the Treasury</w:t>
      </w:r>
      <w:r w:rsidR="001E6A0A">
        <w:rPr>
          <w:rFonts w:ascii="Noto Serif" w:hAnsi="Noto Serif" w:cs="Noto Serif"/>
          <w:sz w:val="24"/>
        </w:rPr>
        <w:t xml:space="preserve"> (specifically, the word “reflects”)</w:t>
      </w:r>
      <w:r w:rsidR="00565C35">
        <w:rPr>
          <w:rFonts w:ascii="Noto Serif" w:hAnsi="Noto Serif" w:cs="Noto Serif"/>
          <w:sz w:val="24"/>
        </w:rPr>
        <w:t xml:space="preserve"> is “permissive”</w:t>
      </w:r>
      <w:r w:rsidR="0000345E">
        <w:rPr>
          <w:rFonts w:ascii="Noto Serif" w:hAnsi="Noto Serif" w:cs="Noto Serif"/>
          <w:sz w:val="24"/>
        </w:rPr>
        <w:t xml:space="preserve"> and thus gives HHS discretion as to when and in what amount these payments should be made</w:t>
      </w:r>
      <w:r w:rsidR="00565C35">
        <w:rPr>
          <w:rFonts w:ascii="Noto Serif" w:hAnsi="Noto Serif" w:cs="Noto Serif"/>
          <w:sz w:val="24"/>
        </w:rPr>
        <w:t xml:space="preserve">, </w:t>
      </w:r>
      <w:r w:rsidR="0000345E">
        <w:rPr>
          <w:rFonts w:ascii="Noto Serif" w:hAnsi="Noto Serif" w:cs="Noto Serif"/>
          <w:sz w:val="24"/>
        </w:rPr>
        <w:t>as opposed to the</w:t>
      </w:r>
      <w:r w:rsidR="00565C35">
        <w:rPr>
          <w:rFonts w:ascii="Noto Serif" w:hAnsi="Noto Serif" w:cs="Noto Serif"/>
          <w:sz w:val="24"/>
        </w:rPr>
        <w:t xml:space="preserve"> “mandatory” language regarding the reinsurance payments, </w:t>
      </w:r>
      <w:r w:rsidR="001E6A0A">
        <w:rPr>
          <w:rFonts w:ascii="Noto Serif" w:hAnsi="Noto Serif" w:cs="Noto Serif"/>
          <w:sz w:val="24"/>
        </w:rPr>
        <w:t>is inconsistent with the definition of the word “reflects”, “particularly where the surrounding language of the clause includes... the same specificity as in the clauses that CMS considers to be mandatory</w:t>
      </w:r>
      <w:r w:rsidR="006F3235">
        <w:rPr>
          <w:rFonts w:ascii="Noto Serif" w:hAnsi="Noto Serif" w:cs="Noto Serif"/>
          <w:sz w:val="24"/>
        </w:rPr>
        <w:t>.</w:t>
      </w:r>
      <w:r w:rsidR="001E6A0A">
        <w:rPr>
          <w:rFonts w:ascii="Noto Serif" w:hAnsi="Noto Serif" w:cs="Noto Serif"/>
          <w:sz w:val="24"/>
        </w:rPr>
        <w:t>”</w:t>
      </w:r>
    </w:p>
    <w:p w14:paraId="7237170D" w14:textId="77777777" w:rsidR="00EF471D" w:rsidRDefault="00EF471D" w:rsidP="00C76E72">
      <w:pPr>
        <w:rPr>
          <w:rFonts w:ascii="Noto Serif" w:hAnsi="Noto Serif" w:cs="Noto Serif"/>
          <w:sz w:val="24"/>
        </w:rPr>
      </w:pPr>
    </w:p>
    <w:p w14:paraId="467C3580" w14:textId="077FFAEE" w:rsidR="001B3EF5" w:rsidRDefault="00B00E0D" w:rsidP="00C76E72">
      <w:pPr>
        <w:rPr>
          <w:rFonts w:ascii="Noto Serif" w:hAnsi="Noto Serif" w:cs="Noto Serif"/>
          <w:sz w:val="24"/>
        </w:rPr>
      </w:pPr>
      <w:r>
        <w:rPr>
          <w:rFonts w:ascii="Noto Serif" w:hAnsi="Noto Serif" w:cs="Noto Serif"/>
          <w:sz w:val="24"/>
        </w:rPr>
        <w:t>S</w:t>
      </w:r>
      <w:r w:rsidR="0004018D">
        <w:rPr>
          <w:rFonts w:ascii="Noto Serif" w:hAnsi="Noto Serif" w:cs="Noto Serif"/>
          <w:sz w:val="24"/>
        </w:rPr>
        <w:t>econdly, s</w:t>
      </w:r>
      <w:r>
        <w:rPr>
          <w:rFonts w:ascii="Noto Serif" w:hAnsi="Noto Serif" w:cs="Noto Serif"/>
          <w:sz w:val="24"/>
        </w:rPr>
        <w:t xml:space="preserve">ome may try to argue that a violation has not yet been </w:t>
      </w:r>
      <w:r w:rsidR="0004018D">
        <w:rPr>
          <w:rFonts w:ascii="Noto Serif" w:hAnsi="Noto Serif" w:cs="Noto Serif"/>
          <w:sz w:val="24"/>
        </w:rPr>
        <w:t xml:space="preserve">made because of </w:t>
      </w:r>
      <w:r w:rsidR="001E6A0A">
        <w:rPr>
          <w:rFonts w:ascii="Noto Serif" w:hAnsi="Noto Serif" w:cs="Noto Serif"/>
          <w:sz w:val="24"/>
        </w:rPr>
        <w:t xml:space="preserve">claims of </w:t>
      </w:r>
      <w:r w:rsidR="0004018D">
        <w:rPr>
          <w:rFonts w:ascii="Noto Serif" w:hAnsi="Noto Serif" w:cs="Noto Serif"/>
          <w:sz w:val="24"/>
        </w:rPr>
        <w:t xml:space="preserve">ambiguity regarding </w:t>
      </w:r>
      <w:r>
        <w:rPr>
          <w:rFonts w:ascii="Noto Serif" w:hAnsi="Noto Serif" w:cs="Noto Serif"/>
          <w:sz w:val="24"/>
        </w:rPr>
        <w:t xml:space="preserve">the timing of the payments to the Treasury. </w:t>
      </w:r>
      <w:r w:rsidR="002526DC">
        <w:rPr>
          <w:rFonts w:ascii="Noto Serif" w:hAnsi="Noto Serif" w:cs="Noto Serif"/>
          <w:sz w:val="24"/>
        </w:rPr>
        <w:t>While</w:t>
      </w:r>
      <w:r w:rsidR="001E6A0A">
        <w:rPr>
          <w:rFonts w:ascii="Noto Serif" w:hAnsi="Noto Serif" w:cs="Noto Serif"/>
          <w:sz w:val="24"/>
        </w:rPr>
        <w:t xml:space="preserve"> the law clearly allows funds </w:t>
      </w:r>
      <w:r w:rsidR="001E6A0A">
        <w:rPr>
          <w:rFonts w:ascii="Noto Serif" w:hAnsi="Noto Serif" w:cs="Noto Serif"/>
          <w:sz w:val="24"/>
        </w:rPr>
        <w:lastRenderedPageBreak/>
        <w:t xml:space="preserve">raised by the fee for reinsurance payments in any year to be used for reinsurance payments in any of the years the program exists (2014, 2015, or 2016) or for an additional two years (2017 or 2018), §1341(b)(4) </w:t>
      </w:r>
      <w:r w:rsidR="002526DC">
        <w:rPr>
          <w:rFonts w:ascii="Noto Serif" w:hAnsi="Noto Serif" w:cs="Noto Serif"/>
          <w:sz w:val="24"/>
        </w:rPr>
        <w:t>does not</w:t>
      </w:r>
      <w:r w:rsidR="001E6A0A">
        <w:rPr>
          <w:rFonts w:ascii="Noto Serif" w:hAnsi="Noto Serif" w:cs="Noto Serif"/>
          <w:sz w:val="24"/>
        </w:rPr>
        <w:t xml:space="preserve"> allow </w:t>
      </w:r>
      <w:r w:rsidR="002526DC">
        <w:rPr>
          <w:rFonts w:ascii="Noto Serif" w:hAnsi="Noto Serif" w:cs="Noto Serif"/>
          <w:sz w:val="24"/>
        </w:rPr>
        <w:t xml:space="preserve">similar flexibility </w:t>
      </w:r>
      <w:r w:rsidR="001E6A0A">
        <w:rPr>
          <w:rFonts w:ascii="Noto Serif" w:hAnsi="Noto Serif" w:cs="Noto Serif"/>
          <w:sz w:val="24"/>
        </w:rPr>
        <w:t xml:space="preserve">for the funds raised which are to be deposited in the Treasury’s general fund. </w:t>
      </w:r>
      <w:r w:rsidR="0004018D">
        <w:rPr>
          <w:rFonts w:ascii="Noto Serif" w:hAnsi="Noto Serif" w:cs="Noto Serif"/>
          <w:sz w:val="24"/>
        </w:rPr>
        <w:t xml:space="preserve">CRS explains that </w:t>
      </w:r>
      <w:r w:rsidR="00C76E72">
        <w:rPr>
          <w:rFonts w:ascii="Noto Serif" w:hAnsi="Noto Serif" w:cs="Noto Serif"/>
          <w:sz w:val="24"/>
        </w:rPr>
        <w:t>the “</w:t>
      </w:r>
      <w:hyperlink r:id="rId12" w:history="1">
        <w:r w:rsidR="00C76E72" w:rsidRPr="006121A4">
          <w:rPr>
            <w:rStyle w:val="Hyperlink"/>
            <w:rFonts w:ascii="Noto Serif" w:hAnsi="Noto Serif" w:cs="Noto Serif"/>
            <w:sz w:val="24"/>
          </w:rPr>
          <w:t>miscellaneous receipts statute</w:t>
        </w:r>
      </w:hyperlink>
      <w:r w:rsidR="00C76E72">
        <w:rPr>
          <w:rFonts w:ascii="Noto Serif" w:hAnsi="Noto Serif" w:cs="Noto Serif"/>
          <w:sz w:val="24"/>
        </w:rPr>
        <w:t xml:space="preserve">” requires that “money received by the federal government must generally be deposited in the Treasury as miscellaneous receipts </w:t>
      </w:r>
      <w:r w:rsidR="0004018D">
        <w:rPr>
          <w:rFonts w:ascii="Noto Serif" w:hAnsi="Noto Serif" w:cs="Noto Serif"/>
          <w:sz w:val="24"/>
        </w:rPr>
        <w:t>‘</w:t>
      </w:r>
      <w:r w:rsidR="00C76E72">
        <w:rPr>
          <w:rFonts w:ascii="Noto Serif" w:hAnsi="Noto Serif" w:cs="Noto Serif"/>
          <w:sz w:val="24"/>
        </w:rPr>
        <w:t xml:space="preserve">as soon as </w:t>
      </w:r>
      <w:r w:rsidR="006121A4">
        <w:rPr>
          <w:rFonts w:ascii="Noto Serif" w:hAnsi="Noto Serif" w:cs="Noto Serif"/>
          <w:sz w:val="24"/>
        </w:rPr>
        <w:t>practicable</w:t>
      </w:r>
      <w:r w:rsidR="00781885">
        <w:rPr>
          <w:rFonts w:ascii="Noto Serif" w:hAnsi="Noto Serif" w:cs="Noto Serif"/>
          <w:sz w:val="24"/>
        </w:rPr>
        <w:t>.</w:t>
      </w:r>
      <w:r w:rsidR="00C76E72">
        <w:rPr>
          <w:rFonts w:ascii="Noto Serif" w:hAnsi="Noto Serif" w:cs="Noto Serif"/>
          <w:sz w:val="24"/>
        </w:rPr>
        <w:t>”</w:t>
      </w:r>
      <w:r w:rsidR="001E6A0A">
        <w:rPr>
          <w:rFonts w:ascii="Noto Serif" w:hAnsi="Noto Serif" w:cs="Noto Serif"/>
          <w:sz w:val="24"/>
        </w:rPr>
        <w:t xml:space="preserve"> HHS </w:t>
      </w:r>
      <w:r w:rsidR="00996B6C">
        <w:rPr>
          <w:rFonts w:ascii="Noto Serif" w:hAnsi="Noto Serif" w:cs="Noto Serif"/>
          <w:sz w:val="24"/>
        </w:rPr>
        <w:t>came to the same conclusion, writing in the preamble to the rulemaking that “we have no authority to defer the collection of reinsurance contributions for the payments to the end of the program</w:t>
      </w:r>
      <w:r w:rsidR="006F3235">
        <w:rPr>
          <w:rFonts w:ascii="Noto Serif" w:hAnsi="Noto Serif" w:cs="Noto Serif"/>
          <w:sz w:val="24"/>
        </w:rPr>
        <w:t>.</w:t>
      </w:r>
      <w:r w:rsidR="00996B6C">
        <w:rPr>
          <w:rFonts w:ascii="Noto Serif" w:hAnsi="Noto Serif" w:cs="Noto Serif"/>
          <w:sz w:val="24"/>
        </w:rPr>
        <w:t>”</w:t>
      </w:r>
    </w:p>
    <w:p w14:paraId="261D3902" w14:textId="77777777" w:rsidR="00C76E72" w:rsidRDefault="00C76E72">
      <w:pPr>
        <w:rPr>
          <w:rFonts w:ascii="Noto Serif" w:hAnsi="Noto Serif" w:cs="Noto Serif"/>
          <w:sz w:val="24"/>
        </w:rPr>
      </w:pPr>
    </w:p>
    <w:p w14:paraId="4A20BC78" w14:textId="2E8A5036" w:rsidR="00EE2F8A" w:rsidRPr="0000056E" w:rsidRDefault="002D565C" w:rsidP="00EE2F8A">
      <w:pPr>
        <w:rPr>
          <w:rFonts w:ascii="Noto Serif" w:hAnsi="Noto Serif" w:cs="Noto Serif"/>
          <w:sz w:val="24"/>
        </w:rPr>
      </w:pPr>
      <w:r w:rsidRPr="0000056E">
        <w:rPr>
          <w:rFonts w:ascii="Noto Serif" w:hAnsi="Noto Serif" w:cs="Noto Serif"/>
          <w:sz w:val="24"/>
        </w:rPr>
        <w:t>Adding insult to injury</w:t>
      </w:r>
      <w:r w:rsidR="00EE2F8A" w:rsidRPr="0000056E">
        <w:rPr>
          <w:rFonts w:ascii="Noto Serif" w:hAnsi="Noto Serif" w:cs="Noto Serif"/>
          <w:sz w:val="24"/>
        </w:rPr>
        <w:t xml:space="preserve">, </w:t>
      </w:r>
      <w:r w:rsidRPr="0000056E">
        <w:rPr>
          <w:rFonts w:ascii="Noto Serif" w:hAnsi="Noto Serif" w:cs="Noto Serif"/>
          <w:sz w:val="24"/>
        </w:rPr>
        <w:t>the problem doesn’t stop there. D</w:t>
      </w:r>
      <w:r w:rsidR="0097792F" w:rsidRPr="0000056E">
        <w:rPr>
          <w:rFonts w:ascii="Noto Serif" w:hAnsi="Noto Serif" w:cs="Noto Serif"/>
          <w:sz w:val="24"/>
        </w:rPr>
        <w:t xml:space="preserve">espite the $2 billion that was supposed to be deposited into the general fund in 2014, HHS announced that </w:t>
      </w:r>
      <w:r w:rsidR="00EE2F8A" w:rsidRPr="0000056E">
        <w:rPr>
          <w:rFonts w:ascii="Noto Serif" w:hAnsi="Noto Serif" w:cs="Noto Serif"/>
          <w:sz w:val="24"/>
        </w:rPr>
        <w:t xml:space="preserve">$1.7 billion is being carried over </w:t>
      </w:r>
      <w:r w:rsidR="00EE2F8A" w:rsidRPr="0000056E">
        <w:rPr>
          <w:rFonts w:ascii="Noto Serif" w:hAnsi="Noto Serif" w:cs="Noto Serif"/>
          <w:sz w:val="24"/>
        </w:rPr>
        <w:lastRenderedPageBreak/>
        <w:t>from the 2014 benefit year to make reinsurance payments for the 2015 benefit year.</w:t>
      </w:r>
      <w:r w:rsidR="0097792F" w:rsidRPr="0000056E">
        <w:rPr>
          <w:rFonts w:ascii="Noto Serif" w:hAnsi="Noto Serif" w:cs="Noto Serif"/>
          <w:sz w:val="24"/>
        </w:rPr>
        <w:t xml:space="preserve"> </w:t>
      </w:r>
      <w:r w:rsidRPr="0000056E">
        <w:rPr>
          <w:rFonts w:ascii="Noto Serif" w:hAnsi="Noto Serif" w:cs="Noto Serif"/>
          <w:sz w:val="24"/>
        </w:rPr>
        <w:t>Thus, even if HHS’s decision that payments to the Treasury should be made only after all reinsura</w:t>
      </w:r>
      <w:r w:rsidR="002508DA" w:rsidRPr="0000056E">
        <w:rPr>
          <w:rFonts w:ascii="Noto Serif" w:hAnsi="Noto Serif" w:cs="Noto Serif"/>
          <w:sz w:val="24"/>
        </w:rPr>
        <w:t xml:space="preserve">nce payments were made was not in violation of the law, the transfer of funds from 2014 to 2015 implies that there was a surplus of funds beyond what was necessary to make adequate reinsurance payments. Even under HHS’s incorrect interpretation of the law, this surplus of $1.7 billion should have been paid to the Treasury. The administration’s priority is clearly </w:t>
      </w:r>
      <w:r w:rsidR="00E40DC1" w:rsidRPr="0000056E">
        <w:rPr>
          <w:rFonts w:ascii="Noto Serif" w:hAnsi="Noto Serif" w:cs="Noto Serif"/>
          <w:sz w:val="24"/>
        </w:rPr>
        <w:t>with</w:t>
      </w:r>
      <w:r w:rsidR="002508DA" w:rsidRPr="0000056E">
        <w:rPr>
          <w:rFonts w:ascii="Noto Serif" w:hAnsi="Noto Serif" w:cs="Noto Serif"/>
          <w:sz w:val="24"/>
        </w:rPr>
        <w:t xml:space="preserve"> propping up </w:t>
      </w:r>
      <w:r w:rsidR="002526DC">
        <w:rPr>
          <w:rFonts w:ascii="Noto Serif" w:hAnsi="Noto Serif" w:cs="Noto Serif"/>
          <w:sz w:val="24"/>
        </w:rPr>
        <w:t>the president’s signature legislative achievement</w:t>
      </w:r>
      <w:r w:rsidR="002508DA" w:rsidRPr="0000056E">
        <w:rPr>
          <w:rFonts w:ascii="Noto Serif" w:hAnsi="Noto Serif" w:cs="Noto Serif"/>
          <w:sz w:val="24"/>
        </w:rPr>
        <w:t xml:space="preserve">, rather than its obligation to the taxpayers. </w:t>
      </w:r>
    </w:p>
    <w:p w14:paraId="64EB3104" w14:textId="77777777" w:rsidR="00EE2F8A" w:rsidRPr="0000056E" w:rsidRDefault="00EE2F8A">
      <w:pPr>
        <w:rPr>
          <w:rFonts w:ascii="Noto Serif" w:hAnsi="Noto Serif" w:cs="Noto Serif"/>
          <w:sz w:val="24"/>
        </w:rPr>
      </w:pPr>
    </w:p>
    <w:p w14:paraId="2DC45619" w14:textId="77777777" w:rsidR="0091112C" w:rsidRDefault="001533F2">
      <w:pPr>
        <w:rPr>
          <w:rFonts w:ascii="Noto Serif" w:hAnsi="Noto Serif" w:cs="Noto Serif"/>
          <w:sz w:val="24"/>
        </w:rPr>
      </w:pPr>
      <w:r w:rsidRPr="0000056E">
        <w:rPr>
          <w:rFonts w:ascii="Noto Serif" w:hAnsi="Noto Serif" w:cs="Noto Serif"/>
          <w:sz w:val="24"/>
        </w:rPr>
        <w:t>Finally, i</w:t>
      </w:r>
      <w:r w:rsidR="0091112C" w:rsidRPr="0000056E">
        <w:rPr>
          <w:rFonts w:ascii="Noto Serif" w:hAnsi="Noto Serif" w:cs="Noto Serif"/>
          <w:sz w:val="24"/>
        </w:rPr>
        <w:t>n 2014,</w:t>
      </w:r>
      <w:r w:rsidR="00FA7FEE" w:rsidRPr="0000056E">
        <w:rPr>
          <w:rFonts w:ascii="Noto Serif" w:hAnsi="Noto Serif" w:cs="Noto Serif"/>
          <w:sz w:val="24"/>
        </w:rPr>
        <w:t xml:space="preserve"> HHS issued a</w:t>
      </w:r>
      <w:r w:rsidR="0091112C" w:rsidRPr="0000056E">
        <w:rPr>
          <w:rFonts w:ascii="Noto Serif" w:hAnsi="Noto Serif" w:cs="Noto Serif"/>
          <w:sz w:val="24"/>
        </w:rPr>
        <w:t xml:space="preserve"> </w:t>
      </w:r>
      <w:hyperlink r:id="rId13" w:anchor="h-55" w:history="1">
        <w:r w:rsidR="0091112C" w:rsidRPr="006121A4">
          <w:rPr>
            <w:rStyle w:val="Hyperlink"/>
            <w:rFonts w:ascii="Noto Serif" w:hAnsi="Noto Serif" w:cs="Noto Serif"/>
            <w:color w:val="0070C0"/>
            <w:sz w:val="24"/>
          </w:rPr>
          <w:t>rule</w:t>
        </w:r>
      </w:hyperlink>
      <w:r w:rsidR="0091112C" w:rsidRPr="0000056E">
        <w:rPr>
          <w:rFonts w:ascii="Noto Serif" w:hAnsi="Noto Serif" w:cs="Noto Serif"/>
          <w:sz w:val="24"/>
        </w:rPr>
        <w:t xml:space="preserve"> to exempt “self-insured, self-administered” plans from the definition of </w:t>
      </w:r>
      <w:r w:rsidR="0074143A" w:rsidRPr="0000056E">
        <w:rPr>
          <w:rFonts w:ascii="Noto Serif" w:hAnsi="Noto Serif" w:cs="Noto Serif"/>
          <w:sz w:val="24"/>
        </w:rPr>
        <w:t>a “contributing entity</w:t>
      </w:r>
      <w:r w:rsidR="0091112C" w:rsidRPr="0000056E">
        <w:rPr>
          <w:rFonts w:ascii="Noto Serif" w:hAnsi="Noto Serif" w:cs="Noto Serif"/>
          <w:sz w:val="24"/>
        </w:rPr>
        <w:t xml:space="preserve">”. </w:t>
      </w:r>
      <w:r w:rsidR="0022442C" w:rsidRPr="0000056E">
        <w:rPr>
          <w:rFonts w:ascii="Noto Serif" w:hAnsi="Noto Serif" w:cs="Noto Serif"/>
          <w:sz w:val="24"/>
        </w:rPr>
        <w:t xml:space="preserve">This had the effect of exempting </w:t>
      </w:r>
      <w:hyperlink r:id="rId14" w:history="1">
        <w:r w:rsidR="0022442C" w:rsidRPr="0022442C">
          <w:rPr>
            <w:rStyle w:val="Hyperlink"/>
            <w:rFonts w:ascii="Noto Serif" w:hAnsi="Noto Serif" w:cs="Noto Serif"/>
            <w:sz w:val="24"/>
          </w:rPr>
          <w:t>union plans</w:t>
        </w:r>
      </w:hyperlink>
      <w:r w:rsidR="0022442C" w:rsidRPr="0000056E">
        <w:rPr>
          <w:rFonts w:ascii="Noto Serif" w:hAnsi="Noto Serif" w:cs="Noto Serif"/>
          <w:sz w:val="24"/>
        </w:rPr>
        <w:t xml:space="preserve"> from having to make payments for this reinsurance program, </w:t>
      </w:r>
      <w:r w:rsidR="0022442C" w:rsidRPr="0000056E">
        <w:rPr>
          <w:rFonts w:ascii="Noto Serif" w:hAnsi="Noto Serif" w:cs="Noto Serif"/>
          <w:sz w:val="24"/>
        </w:rPr>
        <w:lastRenderedPageBreak/>
        <w:t xml:space="preserve">and </w:t>
      </w:r>
      <w:r w:rsidR="0000056E">
        <w:rPr>
          <w:rFonts w:ascii="Noto Serif" w:hAnsi="Noto Serif" w:cs="Noto Serif"/>
          <w:sz w:val="24"/>
        </w:rPr>
        <w:t>is likely</w:t>
      </w:r>
      <w:r w:rsidR="0022442C" w:rsidRPr="0000056E">
        <w:rPr>
          <w:rFonts w:ascii="Noto Serif" w:hAnsi="Noto Serif" w:cs="Noto Serif"/>
          <w:sz w:val="24"/>
        </w:rPr>
        <w:t xml:space="preserve"> part of the reason why an insufficient amount of funds has been collected so far. </w:t>
      </w:r>
    </w:p>
    <w:p w14:paraId="6027C948" w14:textId="77777777" w:rsidR="0000056E" w:rsidRDefault="0000056E">
      <w:pPr>
        <w:rPr>
          <w:rFonts w:ascii="Noto Serif" w:hAnsi="Noto Serif" w:cs="Noto Serif"/>
          <w:sz w:val="24"/>
        </w:rPr>
      </w:pPr>
    </w:p>
    <w:p w14:paraId="28AD6297" w14:textId="0A67C60E" w:rsidR="0094548F" w:rsidRPr="00FF5EFC" w:rsidRDefault="0094548F">
      <w:pPr>
        <w:rPr>
          <w:rFonts w:ascii="Cabin Bold" w:hAnsi="Cabin Bold" w:cs="Noto Serif"/>
          <w:sz w:val="24"/>
        </w:rPr>
      </w:pPr>
      <w:r w:rsidRPr="00FF5EFC">
        <w:rPr>
          <w:rFonts w:ascii="Cabin Bold" w:hAnsi="Cabin Bold" w:cs="Noto Serif"/>
          <w:sz w:val="28"/>
        </w:rPr>
        <w:t>Conclusion</w:t>
      </w:r>
    </w:p>
    <w:p w14:paraId="47A064FF" w14:textId="77777777" w:rsidR="0094548F" w:rsidRDefault="0094548F">
      <w:pPr>
        <w:rPr>
          <w:rFonts w:ascii="Noto Serif" w:hAnsi="Noto Serif" w:cs="Noto Serif"/>
          <w:sz w:val="24"/>
        </w:rPr>
      </w:pPr>
    </w:p>
    <w:p w14:paraId="657D7C15" w14:textId="53CA3AF3" w:rsidR="00C76E72" w:rsidRDefault="0000056E">
      <w:pPr>
        <w:rPr>
          <w:rFonts w:ascii="Noto Serif" w:hAnsi="Noto Serif" w:cs="Noto Serif"/>
          <w:sz w:val="24"/>
        </w:rPr>
      </w:pPr>
      <w:r>
        <w:rPr>
          <w:rFonts w:ascii="Noto Serif" w:hAnsi="Noto Serif" w:cs="Noto Serif"/>
          <w:sz w:val="24"/>
        </w:rPr>
        <w:t xml:space="preserve">This is yet another example of the Obama Administration unilaterally deciding how to implement the ACA, </w:t>
      </w:r>
      <w:r w:rsidR="002526DC">
        <w:rPr>
          <w:rFonts w:ascii="Noto Serif" w:hAnsi="Noto Serif" w:cs="Noto Serif"/>
          <w:sz w:val="24"/>
        </w:rPr>
        <w:t xml:space="preserve">even in cases where they </w:t>
      </w:r>
      <w:r>
        <w:rPr>
          <w:rFonts w:ascii="Noto Serif" w:hAnsi="Noto Serif" w:cs="Noto Serif"/>
          <w:sz w:val="24"/>
        </w:rPr>
        <w:t>hav</w:t>
      </w:r>
      <w:r w:rsidR="002526DC">
        <w:rPr>
          <w:rFonts w:ascii="Noto Serif" w:hAnsi="Noto Serif" w:cs="Noto Serif"/>
          <w:sz w:val="24"/>
        </w:rPr>
        <w:t>e</w:t>
      </w:r>
      <w:r>
        <w:rPr>
          <w:rFonts w:ascii="Noto Serif" w:hAnsi="Noto Serif" w:cs="Noto Serif"/>
          <w:sz w:val="24"/>
        </w:rPr>
        <w:t xml:space="preserve"> no legal authority to do so. </w:t>
      </w:r>
      <w:r w:rsidR="0094548F">
        <w:rPr>
          <w:rFonts w:ascii="Noto Serif" w:hAnsi="Noto Serif" w:cs="Noto Serif"/>
          <w:sz w:val="24"/>
        </w:rPr>
        <w:t xml:space="preserve">The </w:t>
      </w:r>
      <w:r w:rsidR="006F3235">
        <w:rPr>
          <w:rFonts w:ascii="Noto Serif" w:hAnsi="Noto Serif" w:cs="Noto Serif"/>
          <w:sz w:val="24"/>
        </w:rPr>
        <w:t>a</w:t>
      </w:r>
      <w:r w:rsidR="0094548F">
        <w:rPr>
          <w:rFonts w:ascii="Noto Serif" w:hAnsi="Noto Serif" w:cs="Noto Serif"/>
          <w:sz w:val="24"/>
        </w:rPr>
        <w:t>dministration’s decision to not make payments to the Treasury</w:t>
      </w:r>
      <w:r w:rsidR="004D6C3A">
        <w:rPr>
          <w:rFonts w:ascii="Noto Serif" w:hAnsi="Noto Serif" w:cs="Noto Serif"/>
          <w:sz w:val="24"/>
        </w:rPr>
        <w:t>, and to instead prioritize payments to the insurers,</w:t>
      </w:r>
      <w:r w:rsidR="0094548F">
        <w:rPr>
          <w:rFonts w:ascii="Noto Serif" w:hAnsi="Noto Serif" w:cs="Noto Serif"/>
          <w:sz w:val="24"/>
        </w:rPr>
        <w:t xml:space="preserve"> is a clear violation of the law.</w:t>
      </w:r>
    </w:p>
    <w:p w14:paraId="1A0E1669" w14:textId="77777777" w:rsidR="00C76E72" w:rsidRPr="009002CC" w:rsidRDefault="00C76E72">
      <w:pPr>
        <w:rPr>
          <w:rFonts w:ascii="Noto Serif" w:hAnsi="Noto Serif" w:cs="Noto Serif"/>
          <w:sz w:val="24"/>
        </w:rPr>
      </w:pPr>
    </w:p>
    <w:sectPr w:rsidR="00C76E72" w:rsidRPr="009002C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0042" w14:textId="77777777" w:rsidR="002A0D67" w:rsidRDefault="002A0D67" w:rsidP="00360A06">
      <w:r>
        <w:separator/>
      </w:r>
    </w:p>
  </w:endnote>
  <w:endnote w:type="continuationSeparator" w:id="0">
    <w:p w14:paraId="1230A030" w14:textId="77777777" w:rsidR="002A0D67" w:rsidRDefault="002A0D67" w:rsidP="003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bin Italic">
    <w:altName w:val="Cambria"/>
    <w:charset w:val="00"/>
    <w:family w:val="auto"/>
    <w:pitch w:val="variable"/>
    <w:sig w:usb0="00000003"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bin Bold">
    <w:altName w:val="Tw Cen MT Condensed Extra Bold"/>
    <w:charset w:val="00"/>
    <w:family w:val="auto"/>
    <w:pitch w:val="variable"/>
    <w:sig w:usb0="00000003" w:usb1="1000000B" w:usb2="00000000" w:usb3="00000000" w:csb0="00000001" w:csb1="00000000"/>
  </w:font>
  <w:font w:name="Noto Serif">
    <w:altName w:val="Sitka Small"/>
    <w:panose1 w:val="02020600060500020200"/>
    <w:charset w:val="00"/>
    <w:family w:val="roman"/>
    <w:pitch w:val="variable"/>
    <w:sig w:usb0="E00002FF" w:usb1="500078FF" w:usb2="00000029" w:usb3="00000000" w:csb0="0000019F" w:csb1="00000000"/>
  </w:font>
  <w:font w:name="Cabin">
    <w:altName w:val="Tw Cen MT Condensed Extra Bold"/>
    <w:panose1 w:val="020B0803050202020004"/>
    <w:charset w:val="00"/>
    <w:family w:val="swiss"/>
    <w:pitch w:val="variable"/>
    <w:sig w:usb0="8000002F" w:usb1="0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12FA" w14:textId="77777777" w:rsidR="00CC6F1D" w:rsidRDefault="00CC6F1D" w:rsidP="00CC6F1D">
    <w:pPr>
      <w:pStyle w:val="Heading3"/>
      <w:jc w:val="center"/>
    </w:pPr>
    <w:r>
      <w:t>AmericanActionForum.org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2571" w14:textId="77777777" w:rsidR="002A0D67" w:rsidRDefault="002A0D67" w:rsidP="00360A06">
      <w:r>
        <w:separator/>
      </w:r>
    </w:p>
  </w:footnote>
  <w:footnote w:type="continuationSeparator" w:id="0">
    <w:p w14:paraId="374883DD" w14:textId="77777777" w:rsidR="002A0D67" w:rsidRDefault="002A0D67" w:rsidP="0036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9321" w14:textId="77777777" w:rsidR="006121A4" w:rsidRPr="008F5F35" w:rsidRDefault="006121A4" w:rsidP="006121A4">
    <w:pPr>
      <w:pStyle w:val="Header"/>
      <w:rPr>
        <w:rFonts w:ascii="Cabin" w:hAnsi="Cabin"/>
        <w:b/>
        <w:color w:val="BC2F26"/>
        <w:sz w:val="20"/>
        <w:szCs w:val="20"/>
      </w:rPr>
    </w:pPr>
    <w:r w:rsidRPr="008F5F35">
      <w:rPr>
        <w:rFonts w:ascii="Cabin" w:hAnsi="Cabin"/>
        <w:b/>
        <w:noProof/>
        <w:color w:val="BC2F26"/>
        <w:sz w:val="20"/>
        <w:szCs w:val="20"/>
      </w:rPr>
      <w:drawing>
        <wp:anchor distT="0" distB="0" distL="114300" distR="114300" simplePos="0" relativeHeight="251659264" behindDoc="0" locked="0" layoutInCell="1" allowOverlap="1" wp14:anchorId="1A875DB0" wp14:editId="5621F091">
          <wp:simplePos x="0" y="0"/>
          <wp:positionH relativeFrom="column">
            <wp:posOffset>-723900</wp:posOffset>
          </wp:positionH>
          <wp:positionV relativeFrom="paragraph">
            <wp:posOffset>-219075</wp:posOffset>
          </wp:positionV>
          <wp:extent cx="571500" cy="571500"/>
          <wp:effectExtent l="0" t="0" r="12700" b="12700"/>
          <wp:wrapTight wrapText="bothSides">
            <wp:wrapPolygon edited="0">
              <wp:start x="0" y="0"/>
              <wp:lineTo x="0" y="21120"/>
              <wp:lineTo x="21120" y="21120"/>
              <wp:lineTo x="211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_micro_logo.jpe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rFonts w:ascii="Cabin" w:hAnsi="Cabin"/>
        <w:b/>
        <w:noProof/>
        <w:color w:val="BC2F26"/>
        <w:sz w:val="20"/>
        <w:szCs w:val="20"/>
      </w:rPr>
      <w:t>INSIGHT</w:t>
    </w:r>
  </w:p>
  <w:p w14:paraId="3FAA23FE" w14:textId="77777777" w:rsidR="006121A4" w:rsidRDefault="00612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5F"/>
    <w:rsid w:val="0000056E"/>
    <w:rsid w:val="0000345E"/>
    <w:rsid w:val="00027491"/>
    <w:rsid w:val="0004018D"/>
    <w:rsid w:val="000539B4"/>
    <w:rsid w:val="000B5D6B"/>
    <w:rsid w:val="00103211"/>
    <w:rsid w:val="001533F2"/>
    <w:rsid w:val="00167886"/>
    <w:rsid w:val="001B3EF5"/>
    <w:rsid w:val="001E6A0A"/>
    <w:rsid w:val="00206609"/>
    <w:rsid w:val="0022442C"/>
    <w:rsid w:val="002357D4"/>
    <w:rsid w:val="002508DA"/>
    <w:rsid w:val="002526DC"/>
    <w:rsid w:val="002A0D67"/>
    <w:rsid w:val="002C4EEF"/>
    <w:rsid w:val="002D1E94"/>
    <w:rsid w:val="002D565C"/>
    <w:rsid w:val="002E15F9"/>
    <w:rsid w:val="00354F27"/>
    <w:rsid w:val="0035757B"/>
    <w:rsid w:val="00360A06"/>
    <w:rsid w:val="003665B2"/>
    <w:rsid w:val="00377C45"/>
    <w:rsid w:val="0043623A"/>
    <w:rsid w:val="0043627A"/>
    <w:rsid w:val="00451029"/>
    <w:rsid w:val="004D6C3A"/>
    <w:rsid w:val="00565C35"/>
    <w:rsid w:val="00584986"/>
    <w:rsid w:val="005D53AF"/>
    <w:rsid w:val="006121A4"/>
    <w:rsid w:val="00621194"/>
    <w:rsid w:val="00634CBB"/>
    <w:rsid w:val="0069357E"/>
    <w:rsid w:val="006F3235"/>
    <w:rsid w:val="0074143A"/>
    <w:rsid w:val="00781885"/>
    <w:rsid w:val="007963F1"/>
    <w:rsid w:val="007E6CCA"/>
    <w:rsid w:val="00800B38"/>
    <w:rsid w:val="0081473F"/>
    <w:rsid w:val="00842EF9"/>
    <w:rsid w:val="008615FD"/>
    <w:rsid w:val="008678DC"/>
    <w:rsid w:val="008E782C"/>
    <w:rsid w:val="008F3427"/>
    <w:rsid w:val="009002CC"/>
    <w:rsid w:val="0091112C"/>
    <w:rsid w:val="0094548F"/>
    <w:rsid w:val="0097792F"/>
    <w:rsid w:val="00996B6C"/>
    <w:rsid w:val="009B55DF"/>
    <w:rsid w:val="00A25A7C"/>
    <w:rsid w:val="00AE0BD9"/>
    <w:rsid w:val="00AF0198"/>
    <w:rsid w:val="00AF1F95"/>
    <w:rsid w:val="00B00E0D"/>
    <w:rsid w:val="00B618AC"/>
    <w:rsid w:val="00B739ED"/>
    <w:rsid w:val="00BC7A84"/>
    <w:rsid w:val="00C06F5F"/>
    <w:rsid w:val="00C20C5F"/>
    <w:rsid w:val="00C222B5"/>
    <w:rsid w:val="00C46C7D"/>
    <w:rsid w:val="00C53334"/>
    <w:rsid w:val="00C76E72"/>
    <w:rsid w:val="00CC6F1D"/>
    <w:rsid w:val="00E140DE"/>
    <w:rsid w:val="00E17660"/>
    <w:rsid w:val="00E40DC1"/>
    <w:rsid w:val="00E64134"/>
    <w:rsid w:val="00EA3253"/>
    <w:rsid w:val="00EE2F8A"/>
    <w:rsid w:val="00EF471D"/>
    <w:rsid w:val="00F072DF"/>
    <w:rsid w:val="00F53980"/>
    <w:rsid w:val="00F61E99"/>
    <w:rsid w:val="00F85BC0"/>
    <w:rsid w:val="00F8675E"/>
    <w:rsid w:val="00FA7FEE"/>
    <w:rsid w:val="00FC2D2F"/>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388D"/>
  <w15:chartTrackingRefBased/>
  <w15:docId w15:val="{1488A8CF-1F17-46B8-BC60-73ECF45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C6F1D"/>
    <w:pPr>
      <w:outlineLvl w:val="2"/>
    </w:pPr>
    <w:rPr>
      <w:rFonts w:ascii="Cabin Italic" w:eastAsiaTheme="minorEastAsia" w:hAnsi="Cabin Italic"/>
      <w:color w:val="BC2F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12C"/>
    <w:rPr>
      <w:color w:val="0563C1" w:themeColor="hyperlink"/>
      <w:u w:val="single"/>
    </w:rPr>
  </w:style>
  <w:style w:type="character" w:styleId="CommentReference">
    <w:name w:val="annotation reference"/>
    <w:basedOn w:val="DefaultParagraphFont"/>
    <w:uiPriority w:val="99"/>
    <w:semiHidden/>
    <w:unhideWhenUsed/>
    <w:rsid w:val="0097792F"/>
    <w:rPr>
      <w:sz w:val="16"/>
      <w:szCs w:val="16"/>
    </w:rPr>
  </w:style>
  <w:style w:type="paragraph" w:styleId="CommentText">
    <w:name w:val="annotation text"/>
    <w:basedOn w:val="Normal"/>
    <w:link w:val="CommentTextChar"/>
    <w:uiPriority w:val="99"/>
    <w:semiHidden/>
    <w:unhideWhenUsed/>
    <w:rsid w:val="0097792F"/>
    <w:rPr>
      <w:sz w:val="20"/>
      <w:szCs w:val="20"/>
    </w:rPr>
  </w:style>
  <w:style w:type="character" w:customStyle="1" w:styleId="CommentTextChar">
    <w:name w:val="Comment Text Char"/>
    <w:basedOn w:val="DefaultParagraphFont"/>
    <w:link w:val="CommentText"/>
    <w:uiPriority w:val="99"/>
    <w:semiHidden/>
    <w:rsid w:val="0097792F"/>
    <w:rPr>
      <w:sz w:val="20"/>
      <w:szCs w:val="20"/>
    </w:rPr>
  </w:style>
  <w:style w:type="paragraph" w:styleId="CommentSubject">
    <w:name w:val="annotation subject"/>
    <w:basedOn w:val="CommentText"/>
    <w:next w:val="CommentText"/>
    <w:link w:val="CommentSubjectChar"/>
    <w:uiPriority w:val="99"/>
    <w:semiHidden/>
    <w:unhideWhenUsed/>
    <w:rsid w:val="0097792F"/>
    <w:rPr>
      <w:b/>
      <w:bCs/>
    </w:rPr>
  </w:style>
  <w:style w:type="character" w:customStyle="1" w:styleId="CommentSubjectChar">
    <w:name w:val="Comment Subject Char"/>
    <w:basedOn w:val="CommentTextChar"/>
    <w:link w:val="CommentSubject"/>
    <w:uiPriority w:val="99"/>
    <w:semiHidden/>
    <w:rsid w:val="0097792F"/>
    <w:rPr>
      <w:b/>
      <w:bCs/>
      <w:sz w:val="20"/>
      <w:szCs w:val="20"/>
    </w:rPr>
  </w:style>
  <w:style w:type="paragraph" w:styleId="BalloonText">
    <w:name w:val="Balloon Text"/>
    <w:basedOn w:val="Normal"/>
    <w:link w:val="BalloonTextChar"/>
    <w:uiPriority w:val="99"/>
    <w:semiHidden/>
    <w:unhideWhenUsed/>
    <w:rsid w:val="00977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2F"/>
    <w:rPr>
      <w:rFonts w:ascii="Segoe UI" w:hAnsi="Segoe UI" w:cs="Segoe UI"/>
      <w:sz w:val="18"/>
      <w:szCs w:val="18"/>
    </w:rPr>
  </w:style>
  <w:style w:type="paragraph" w:styleId="Header">
    <w:name w:val="header"/>
    <w:basedOn w:val="Normal"/>
    <w:link w:val="HeaderChar"/>
    <w:uiPriority w:val="99"/>
    <w:unhideWhenUsed/>
    <w:rsid w:val="00360A06"/>
    <w:pPr>
      <w:tabs>
        <w:tab w:val="center" w:pos="4680"/>
        <w:tab w:val="right" w:pos="9360"/>
      </w:tabs>
    </w:pPr>
  </w:style>
  <w:style w:type="character" w:customStyle="1" w:styleId="HeaderChar">
    <w:name w:val="Header Char"/>
    <w:basedOn w:val="DefaultParagraphFont"/>
    <w:link w:val="Header"/>
    <w:uiPriority w:val="99"/>
    <w:rsid w:val="00360A06"/>
  </w:style>
  <w:style w:type="paragraph" w:styleId="Footer">
    <w:name w:val="footer"/>
    <w:basedOn w:val="Normal"/>
    <w:link w:val="FooterChar"/>
    <w:uiPriority w:val="99"/>
    <w:unhideWhenUsed/>
    <w:rsid w:val="00360A06"/>
    <w:pPr>
      <w:tabs>
        <w:tab w:val="center" w:pos="4680"/>
        <w:tab w:val="right" w:pos="9360"/>
      </w:tabs>
    </w:pPr>
  </w:style>
  <w:style w:type="character" w:customStyle="1" w:styleId="FooterChar">
    <w:name w:val="Footer Char"/>
    <w:basedOn w:val="DefaultParagraphFont"/>
    <w:link w:val="Footer"/>
    <w:uiPriority w:val="99"/>
    <w:rsid w:val="00360A06"/>
  </w:style>
  <w:style w:type="character" w:customStyle="1" w:styleId="Heading3Char">
    <w:name w:val="Heading 3 Char"/>
    <w:basedOn w:val="DefaultParagraphFont"/>
    <w:link w:val="Heading3"/>
    <w:uiPriority w:val="9"/>
    <w:rsid w:val="00CC6F1D"/>
    <w:rPr>
      <w:rFonts w:ascii="Cabin Italic" w:eastAsiaTheme="minorEastAsia" w:hAnsi="Cabin Italic"/>
      <w:color w:val="BC2F26"/>
      <w:sz w:val="28"/>
      <w:szCs w:val="28"/>
    </w:rPr>
  </w:style>
  <w:style w:type="character" w:styleId="FollowedHyperlink">
    <w:name w:val="FollowedHyperlink"/>
    <w:basedOn w:val="DefaultParagraphFont"/>
    <w:uiPriority w:val="99"/>
    <w:semiHidden/>
    <w:unhideWhenUsed/>
    <w:rsid w:val="00C22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1/hr3590/text?mc_cid=e0f4c39a93&amp;mc_eid=71a4d8f464" TargetMode="External"/><Relationship Id="rId13" Type="http://schemas.openxmlformats.org/officeDocument/2006/relationships/hyperlink" Target="https://www.federalregister.gov/articles/2014/03/11/2014-05052/patient-protection-and-affordable-care-act-hhs-notice-of-benefit-and-payment-parameters-for-20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ericanactionforum.org/research/the-acas-risk-spreading-mechanisms-a-primer-on-reinsurance-risk-corridors-a" TargetMode="External"/><Relationship Id="rId12" Type="http://schemas.openxmlformats.org/officeDocument/2006/relationships/hyperlink" Target="http://www.gao.gov/special.pubs/d06382sp.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americanactionforum.org/research/five-years-after-passage-the-aca-by-the-numbers" TargetMode="External"/><Relationship Id="rId11" Type="http://schemas.openxmlformats.org/officeDocument/2006/relationships/hyperlink" Target="http://energycommerce.house.gov/sites/republicans.energycommerce.house.gov/files/documents/114/analysis/20160223CRS.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po.gov/fdsys/pkg/FR-2014-05-27/pdf/2014-11657.pdf" TargetMode="External"/><Relationship Id="rId4" Type="http://schemas.openxmlformats.org/officeDocument/2006/relationships/footnotes" Target="footnotes.xml"/><Relationship Id="rId9" Type="http://schemas.openxmlformats.org/officeDocument/2006/relationships/hyperlink" Target="https://www.cms.gov/CCIIO/Resources/Regulations-and-Guidance/Downloads/Reinsurance-Contributions-Total-Amount-Collected-final-.pdf" TargetMode="External"/><Relationship Id="rId14" Type="http://schemas.openxmlformats.org/officeDocument/2006/relationships/hyperlink" Target="http://americanactionforum.org/insights/reinsurance-fee-exemption-unions-win-everyone-else-l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O'Neill</dc:creator>
  <cp:keywords/>
  <dc:description/>
  <cp:lastModifiedBy>Elaine Joseph</cp:lastModifiedBy>
  <cp:revision>2</cp:revision>
  <dcterms:created xsi:type="dcterms:W3CDTF">2016-02-25T16:39:00Z</dcterms:created>
  <dcterms:modified xsi:type="dcterms:W3CDTF">2016-02-25T16:39:00Z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-1202008601</vt:i4>
  </property>
  <property fmtid="{D5CDD505-2E9C-101B-9397-08002B2CF9AE}" pid="4" name="_EmailSubject">
    <vt:lpwstr>insight on reinsurance boondoggle </vt:lpwstr>
  </property>
  <property fmtid="{D5CDD505-2E9C-101B-9397-08002B2CF9AE}" pid="5" name="_AuthorEmail">
    <vt:lpwstr>toneill@americanactionforum.org</vt:lpwstr>
  </property>
  <property fmtid="{D5CDD505-2E9C-101B-9397-08002B2CF9AE}" pid="6" name="_AuthorEmailDisplayName">
    <vt:lpwstr>Tara O'Neill</vt:lpwstr>
  </property>
  <property fmtid="{D5CDD505-2E9C-101B-9397-08002B2CF9AE}" pid="7" name="_ReviewingToolsShownOnce">
    <vt:lpwstr/>
  </property>
</Properties>
</file>